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after="120" w:lineRule="auto"/>
        <w:rPr/>
      </w:pPr>
      <w:bookmarkStart w:colFirst="0" w:colLast="0" w:name="_heading=h.gjdgxs" w:id="0"/>
      <w:bookmarkEnd w:id="0"/>
      <w:r w:rsidDel="00000000" w:rsidR="00000000" w:rsidRPr="00000000">
        <w:rPr>
          <w:rtl w:val="0"/>
        </w:rPr>
        <w:t xml:space="preserve">Pupil premium strategy statement – Norfolk Community Primary School</w:t>
      </w:r>
    </w:p>
    <w:p w:rsidR="00000000" w:rsidDel="00000000" w:rsidP="00000000" w:rsidRDefault="00000000" w:rsidRPr="00000000" w14:paraId="00000002">
      <w:pPr>
        <w:spacing w:after="120" w:lineRule="auto"/>
        <w:rPr>
          <w:b w:val="1"/>
          <w:bCs w:val="1"/>
        </w:rPr>
      </w:pPr>
      <w:r w:rsidDel="00000000" w:rsidR="00000000" w:rsidRPr="00000000">
        <w:rPr>
          <w:rtl w:val="0"/>
        </w:rPr>
        <w:t xml:space="preserve">This statement details our school’s use of pupil premium (and recovery premium) funding to help improve the attainment of our disadvantaged pupils. </w:t>
      </w:r>
      <w:r w:rsidDel="00000000" w:rsidR="00000000" w:rsidRPr="00000000">
        <w:rPr>
          <w:rtl w:val="0"/>
        </w:rPr>
      </w:r>
    </w:p>
    <w:p w:rsidR="00000000" w:rsidDel="00000000" w:rsidP="00000000" w:rsidRDefault="00000000" w:rsidRPr="00000000" w14:paraId="00000003">
      <w:pPr>
        <w:spacing w:after="120" w:lineRule="auto"/>
        <w:rPr>
          <w:b w:val="1"/>
          <w:bCs w:val="1"/>
        </w:rPr>
      </w:pPr>
      <w:r w:rsidDel="00000000" w:rsidR="00000000" w:rsidRPr="00000000">
        <w:rPr>
          <w:rtl w:val="0"/>
        </w:rPr>
        <w:t xml:space="preserve">It outlines our pupil premium strategy, how we intend to spend the funding in this academic year and the outcomes for disadvantaged pupils last academic year.</w:t>
      </w:r>
      <w:r w:rsidDel="00000000" w:rsidR="00000000" w:rsidRPr="00000000">
        <w:rPr>
          <w:rtl w:val="0"/>
        </w:rPr>
      </w:r>
    </w:p>
    <w:p w:rsidR="00000000" w:rsidDel="00000000" w:rsidP="00000000" w:rsidRDefault="00000000" w:rsidRPr="00000000" w14:paraId="00000004">
      <w:pPr>
        <w:pStyle w:val="Heading2"/>
        <w:spacing w:after="120" w:before="0" w:lineRule="auto"/>
        <w:rPr/>
      </w:pPr>
      <w:r w:rsidDel="00000000" w:rsidR="00000000" w:rsidRPr="00000000">
        <w:rPr>
          <w:rtl w:val="0"/>
        </w:rPr>
        <w:t xml:space="preserve">School overview</w:t>
      </w:r>
    </w:p>
    <w:tbl>
      <w:tblPr>
        <w:tblStyle w:val="Table1"/>
        <w:tblW w:w="948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517"/>
        <w:gridCol w:w="2969"/>
        <w:tblGridChange w:id="0">
          <w:tblGrid>
            <w:gridCol w:w="6517"/>
            <w:gridCol w:w="296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05">
            <w:pPr>
              <w:pBdr>
                <w:top w:space="0" w:sz="0" w:val="nil"/>
                <w:left w:space="0" w:sz="0" w:val="nil"/>
                <w:bottom w:space="0" w:sz="0" w:val="nil"/>
                <w:right w:space="0" w:sz="0" w:val="nil"/>
                <w:between w:space="0" w:sz="0" w:val="nil"/>
              </w:pBdr>
              <w:spacing w:after="60" w:before="60" w:line="240" w:lineRule="auto"/>
              <w:ind w:left="57" w:right="57" w:firstLine="0"/>
              <w:rPr>
                <w:b w:val="1"/>
                <w:bCs w:val="1"/>
              </w:rPr>
            </w:pPr>
            <w:r w:rsidDel="00000000" w:rsidR="00000000" w:rsidRPr="00000000">
              <w:rPr>
                <w:b w:val="1"/>
                <w:bCs w:val="1"/>
                <w:rtl w:val="0"/>
              </w:rPr>
              <w:t xml:space="preserve">Detail</w:t>
            </w:r>
          </w:p>
        </w:tc>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06">
            <w:pPr>
              <w:pBdr>
                <w:top w:space="0" w:sz="0" w:val="nil"/>
                <w:left w:space="0" w:sz="0" w:val="nil"/>
                <w:bottom w:space="0" w:sz="0" w:val="nil"/>
                <w:right w:space="0" w:sz="0" w:val="nil"/>
                <w:between w:space="0" w:sz="0" w:val="nil"/>
              </w:pBdr>
              <w:spacing w:after="60" w:before="60" w:line="240" w:lineRule="auto"/>
              <w:ind w:left="57" w:right="57" w:firstLine="0"/>
              <w:rPr>
                <w:b w:val="1"/>
                <w:bCs w:val="1"/>
              </w:rPr>
            </w:pPr>
            <w:r w:rsidDel="00000000" w:rsidR="00000000" w:rsidRPr="00000000">
              <w:rPr>
                <w:b w:val="1"/>
                <w:bCs w:val="1"/>
                <w:rtl w:val="0"/>
              </w:rPr>
              <w:t xml:space="preserve">Data </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7">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Number of pupils in school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8">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471</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9">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Proportion (%) of pupil premium eligible pupils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A">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59.6%</w:t>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(281 pupils)</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C">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Academic year/years that our current pupil premium strategy plan covers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D">
            <w:pPr>
              <w:pBdr>
                <w:top w:space="0" w:sz="0" w:val="nil"/>
                <w:left w:space="0" w:sz="0" w:val="nil"/>
                <w:bottom w:space="0" w:sz="0" w:val="nil"/>
                <w:right w:space="0" w:sz="0" w:val="nil"/>
                <w:between w:space="0" w:sz="0" w:val="nil"/>
              </w:pBdr>
              <w:spacing w:after="60" w:before="60" w:line="240" w:lineRule="auto"/>
              <w:ind w:left="0" w:right="57" w:firstLine="0"/>
              <w:rPr/>
            </w:pPr>
            <w:r w:rsidDel="00000000" w:rsidR="00000000" w:rsidRPr="00000000">
              <w:rPr>
                <w:rtl w:val="0"/>
              </w:rPr>
              <w:t xml:space="preserve">2025/2026</w:t>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after="60" w:before="60" w:line="240" w:lineRule="auto"/>
              <w:ind w:left="0" w:right="57" w:firstLine="0"/>
              <w:rPr/>
            </w:pPr>
            <w:r w:rsidDel="00000000" w:rsidR="00000000" w:rsidRPr="00000000">
              <w:rPr>
                <w:rtl w:val="0"/>
              </w:rPr>
              <w:t xml:space="preserve">2026/2027</w:t>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after="60" w:before="60" w:line="240" w:lineRule="auto"/>
              <w:ind w:left="0" w:right="57" w:firstLine="0"/>
              <w:rPr/>
            </w:pPr>
            <w:r w:rsidDel="00000000" w:rsidR="00000000" w:rsidRPr="00000000">
              <w:rPr>
                <w:rtl w:val="0"/>
              </w:rPr>
              <w:t xml:space="preserve">2027/2028</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0">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Date this statement was published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1">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Spring 2026</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2">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Date on which it will be reviewed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3">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Autumn 2026</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4">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Statement authorised by</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5">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Cath Whittingham</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6">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Pupil premium lead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7">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Rachel Johnson</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Governor / Trustee lead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9">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r>
          </w:p>
        </w:tc>
      </w:tr>
    </w:tbl>
    <w:p w:rsidR="00000000" w:rsidDel="00000000" w:rsidP="00000000" w:rsidRDefault="00000000" w:rsidRPr="00000000" w14:paraId="0000001A">
      <w:pPr>
        <w:pStyle w:val="Heading2"/>
        <w:spacing w:after="120" w:before="120" w:lineRule="auto"/>
        <w:rPr/>
      </w:pPr>
      <w:r w:rsidDel="00000000" w:rsidR="00000000" w:rsidRPr="00000000">
        <w:rPr>
          <w:rtl w:val="0"/>
        </w:rPr>
        <w:t xml:space="preserve">Funding overview</w:t>
      </w:r>
    </w:p>
    <w:tbl>
      <w:tblPr>
        <w:tblStyle w:val="Table2"/>
        <w:tblW w:w="948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516"/>
        <w:gridCol w:w="2970"/>
        <w:tblGridChange w:id="0">
          <w:tblGrid>
            <w:gridCol w:w="6516"/>
            <w:gridCol w:w="2970"/>
          </w:tblGrid>
        </w:tblGridChange>
      </w:tblGrid>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vAlign w:val="center"/>
          </w:tcPr>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b w:val="1"/>
                <w:bCs w:val="1"/>
                <w:rtl w:val="0"/>
              </w:rPr>
              <w:t xml:space="preserve">Detail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vAlign w:val="center"/>
          </w:tcPr>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b w:val="1"/>
                <w:bCs w:val="1"/>
                <w:rtl w:val="0"/>
              </w:rPr>
              <w:t xml:space="preserve">Amount</w:t>
            </w:r>
            <w:r w:rsidDel="00000000" w:rsidR="00000000" w:rsidRPr="00000000">
              <w:rPr>
                <w:rtl w:val="0"/>
              </w:rPr>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Pupil premium funding allocation this academic year</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60" w:before="60" w:line="240" w:lineRule="auto"/>
              <w:ind w:left="57" w:right="57" w:firstLine="0"/>
              <w:rPr>
                <w:highlight w:val="red"/>
              </w:rPr>
            </w:pPr>
            <w:r w:rsidDel="00000000" w:rsidR="00000000" w:rsidRPr="00000000">
              <w:rPr>
                <w:color w:val="222222"/>
                <w:sz w:val="22"/>
                <w:szCs w:val="22"/>
                <w:highlight w:val="white"/>
                <w:rtl w:val="0"/>
              </w:rPr>
              <w:t xml:space="preserve">£350,546.66</w:t>
            </w:r>
            <w:r w:rsidDel="00000000" w:rsidR="00000000" w:rsidRPr="00000000">
              <w:rPr>
                <w:highlight w:val="red"/>
                <w:rtl w:val="0"/>
              </w:rPr>
              <w:t xml:space="preserve"> </w:t>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Recovery premium funding allocation this academic year</w:t>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60" w:before="60" w:line="240" w:lineRule="auto"/>
              <w:ind w:left="57" w:right="57" w:firstLine="0"/>
              <w:rPr>
                <w:i w:val="1"/>
                <w:iCs w:val="1"/>
              </w:rPr>
            </w:pPr>
            <w:r w:rsidDel="00000000" w:rsidR="00000000" w:rsidRPr="00000000">
              <w:rPr>
                <w:i w:val="1"/>
                <w:iCs w:val="1"/>
                <w:rtl w:val="0"/>
              </w:rPr>
              <w:t xml:space="preserve">Recovery premium received in academic year 2023/24 cannot be carried forward beyond August 31, 2024.</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60" w:before="60" w:line="240" w:lineRule="auto"/>
              <w:ind w:left="0" w:right="57" w:firstLine="0"/>
              <w:rPr/>
            </w:pPr>
            <w:r w:rsidDel="00000000" w:rsidR="00000000" w:rsidRPr="00000000">
              <w:rPr>
                <w:rtl w:val="0"/>
              </w:rPr>
              <w:t xml:space="preserve">£0</w:t>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22">
            <w:pPr>
              <w:pBdr>
                <w:top w:space="0" w:sz="0" w:val="nil"/>
                <w:left w:space="0" w:sz="0" w:val="nil"/>
                <w:bottom w:space="0" w:sz="0" w:val="nil"/>
                <w:right w:space="0" w:sz="0" w:val="nil"/>
                <w:between w:space="0" w:sz="0" w:val="nil"/>
              </w:pBdr>
              <w:spacing w:after="120" w:before="60" w:line="240" w:lineRule="auto"/>
              <w:ind w:left="57" w:right="57" w:firstLine="0"/>
              <w:rPr/>
            </w:pPr>
            <w:r w:rsidDel="00000000" w:rsidR="00000000" w:rsidRPr="00000000">
              <w:rPr>
                <w:rtl w:val="0"/>
              </w:rPr>
              <w:t xml:space="preserve">Pupil premium funding carried forward from previous years </w:t>
            </w:r>
            <w:r w:rsidDel="00000000" w:rsidR="00000000" w:rsidRPr="00000000">
              <w:rPr>
                <w:i w:val="1"/>
                <w:iCs w:val="1"/>
                <w:rtl w:val="0"/>
              </w:rPr>
              <w:t xml:space="preserve">(enter £0 if not applicable)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23">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£0</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24">
            <w:pPr>
              <w:pBdr>
                <w:top w:space="0" w:sz="0" w:val="nil"/>
                <w:left w:space="0" w:sz="0" w:val="nil"/>
                <w:bottom w:space="0" w:sz="0" w:val="nil"/>
                <w:right w:space="0" w:sz="0" w:val="nil"/>
                <w:between w:space="0" w:sz="0" w:val="nil"/>
              </w:pBdr>
              <w:spacing w:after="120" w:before="60" w:line="240" w:lineRule="auto"/>
              <w:ind w:left="57" w:right="57" w:firstLine="0"/>
              <w:rPr>
                <w:b w:val="1"/>
                <w:bCs w:val="1"/>
              </w:rPr>
            </w:pPr>
            <w:r w:rsidDel="00000000" w:rsidR="00000000" w:rsidRPr="00000000">
              <w:rPr>
                <w:b w:val="1"/>
                <w:bCs w:val="1"/>
                <w:rtl w:val="0"/>
              </w:rPr>
              <w:t xml:space="preserve">Total budget for this academic year</w:t>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60" w:before="60" w:line="240" w:lineRule="auto"/>
              <w:ind w:left="57" w:right="57" w:firstLine="0"/>
              <w:rPr>
                <w:i w:val="1"/>
                <w:iCs w:val="1"/>
              </w:rPr>
            </w:pPr>
            <w:r w:rsidDel="00000000" w:rsidR="00000000" w:rsidRPr="00000000">
              <w:rPr>
                <w:i w:val="1"/>
                <w:iCs w:val="1"/>
                <w:rtl w:val="0"/>
              </w:rPr>
              <w:t xml:space="preserve">If your school is an academy in a trust that pools this funding, state the amount available to your school this academic year</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60" w:before="60" w:line="240" w:lineRule="auto"/>
              <w:ind w:left="57" w:right="57" w:firstLine="0"/>
              <w:rPr>
                <w:highlight w:val="red"/>
              </w:rPr>
            </w:pPr>
            <w:r w:rsidDel="00000000" w:rsidR="00000000" w:rsidRPr="00000000">
              <w:rPr>
                <w:color w:val="222222"/>
                <w:sz w:val="22"/>
                <w:szCs w:val="22"/>
                <w:highlight w:val="white"/>
                <w:rtl w:val="0"/>
              </w:rPr>
              <w:t xml:space="preserve">£350,546.66</w:t>
            </w:r>
            <w:r w:rsidDel="00000000" w:rsidR="00000000" w:rsidRPr="00000000">
              <w:rPr>
                <w:highlight w:val="red"/>
                <w:rtl w:val="0"/>
              </w:rPr>
              <w:t xml:space="preserve"> </w:t>
            </w:r>
          </w:p>
        </w:tc>
      </w:tr>
    </w:tbl>
    <w:p w:rsidR="00000000" w:rsidDel="00000000" w:rsidP="00000000" w:rsidRDefault="00000000" w:rsidRPr="00000000" w14:paraId="00000027">
      <w:pPr>
        <w:pStyle w:val="Heading1"/>
        <w:spacing w:after="120" w:lineRule="auto"/>
        <w:rPr/>
      </w:pPr>
      <w:r w:rsidDel="00000000" w:rsidR="00000000" w:rsidRPr="00000000">
        <w:rPr>
          <w:rtl w:val="0"/>
        </w:rPr>
        <w:t xml:space="preserve">Part A: Pupil premium strategy plan</w:t>
      </w:r>
    </w:p>
    <w:p w:rsidR="00000000" w:rsidDel="00000000" w:rsidP="00000000" w:rsidRDefault="00000000" w:rsidRPr="00000000" w14:paraId="00000028">
      <w:pPr>
        <w:pStyle w:val="Heading2"/>
        <w:spacing w:before="120" w:lineRule="auto"/>
        <w:rPr/>
      </w:pPr>
      <w:bookmarkStart w:colFirst="0" w:colLast="0" w:name="_heading=h.30j0zll" w:id="1"/>
      <w:bookmarkEnd w:id="1"/>
      <w:r w:rsidDel="00000000" w:rsidR="00000000" w:rsidRPr="00000000">
        <w:rPr>
          <w:rtl w:val="0"/>
        </w:rPr>
        <w:t xml:space="preserve">Statement of intent</w:t>
      </w:r>
    </w:p>
    <w:tbl>
      <w:tblPr>
        <w:tblStyle w:val="Table3"/>
        <w:tblW w:w="948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486"/>
        <w:tblGridChange w:id="0">
          <w:tblGrid>
            <w:gridCol w:w="94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29">
            <w:pPr>
              <w:pBdr>
                <w:top w:space="0" w:sz="0" w:val="nil"/>
                <w:left w:space="0" w:sz="0" w:val="nil"/>
                <w:bottom w:space="0" w:sz="0" w:val="nil"/>
                <w:right w:space="0" w:sz="0" w:val="nil"/>
                <w:between w:space="0" w:sz="0" w:val="nil"/>
              </w:pBdr>
              <w:spacing w:after="120" w:lineRule="auto"/>
              <w:rPr/>
            </w:pPr>
            <w:r w:rsidDel="00000000" w:rsidR="00000000" w:rsidRPr="00000000">
              <w:rPr>
                <w:rtl w:val="0"/>
              </w:rPr>
              <w:t xml:space="preserve">At Norfolk Community Primary School it is our intention to ensure that all pupils, irrespective of their background or the challenges they face, make good progress from their starting points. We endeavour to understand every child’s strengths and needs, making the best use of time and resources to move learning forwards. We acknowledge that our school serves a community that is ethnically, economically and socially diverse, and we aim for our curriculum to reflect this. We serve a vibrant and happy school community with an enthusiastic and dedicated staff team at the heart of all we do, with one voice about our ambition for all our pupils and so that all staff fully understand their part in addressing educational disadvantage. </w:t>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after="120" w:lineRule="auto"/>
              <w:rPr/>
            </w:pPr>
            <w:r w:rsidDel="00000000" w:rsidR="00000000" w:rsidRPr="00000000">
              <w:rPr>
                <w:rtl w:val="0"/>
              </w:rPr>
              <w:t xml:space="preserve">We are a two form entry primary school located not far from the city centre in Sheffield within an area of significant deprivation. Since September 2024, we have established a fully funded 10-place Integrated Resource Unit on site, providing specialist provision for children within the local area. In addition to the Resource Unit, we also offer two Autism Specialist Hubs for pupils with high levels of need, funded through the school’s core budget. </w:t>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after="120" w:lineRule="auto"/>
              <w:rPr/>
            </w:pPr>
            <w:r w:rsidDel="00000000" w:rsidR="00000000" w:rsidRPr="00000000">
              <w:rPr>
                <w:rtl w:val="0"/>
              </w:rPr>
              <w:t xml:space="preserve">Children can start school at Norfolk from two years old, accessing ‘2 Year FEL’ places for the most vulnerable families within the community. The vast majority of our pupils begin school with particularly low language and interaction skills within our Early Years Foundation Stage. We endeavour to provide a highly inclusive community throughout school with our commitment to early intervention, parent partnership and our large Inclusion team which consists of six members of staff who work across the whole school. We have a compassionate approach towards engaging and supporting our children and parents and this can be seen through our commitment to becoming a ‘Trauma Informed School’ which underpins all that we do. </w:t>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after="120" w:lineRule="auto"/>
              <w:rPr/>
            </w:pPr>
            <w:r w:rsidDel="00000000" w:rsidR="00000000" w:rsidRPr="00000000">
              <w:rPr>
                <w:rtl w:val="0"/>
              </w:rPr>
              <w:t xml:space="preserve">We recognise and are committed to early intervention being a key priority with a clear emphasis on vocabulary, oracy, speaking and early reading. We are constantly seeking to improve and refine our practice in this area and also in providing ongoing targeted support for pupils working below age expected within these areas. </w:t>
            </w:r>
          </w:p>
          <w:p w:rsidR="00000000" w:rsidDel="00000000" w:rsidP="00000000" w:rsidRDefault="00000000" w:rsidRPr="00000000" w14:paraId="0000002D">
            <w:pPr>
              <w:spacing w:after="120" w:lineRule="auto"/>
              <w:rPr/>
            </w:pPr>
            <w:r w:rsidDel="00000000" w:rsidR="00000000" w:rsidRPr="00000000">
              <w:rPr>
                <w:rtl w:val="0"/>
              </w:rPr>
              <w:t xml:space="preserve">We are currently redesigning the curriculum that we offer in order to ensure that we select what we teach judiciously and sequence our learning carefully so that our curriculum becomes a vehicle for promoting the success of all of our learners, particularly our disadvantaged pupils. </w:t>
            </w:r>
          </w:p>
          <w:p w:rsidR="00000000" w:rsidDel="00000000" w:rsidP="00000000" w:rsidRDefault="00000000" w:rsidRPr="00000000" w14:paraId="0000002E">
            <w:pPr>
              <w:spacing w:after="120" w:lineRule="auto"/>
              <w:rPr/>
            </w:pPr>
            <w:r w:rsidDel="00000000" w:rsidR="00000000" w:rsidRPr="00000000">
              <w:rPr>
                <w:rtl w:val="0"/>
              </w:rPr>
              <w:t xml:space="preserve">At the centre of everything we do is the children’s learning. Our curriculum is cohesive and engaging for all and supports all children to develop positive identity, have broad horizons and experience success through the curriculum we construct and the educational experiences we provide. Our curriculum is constructed around the following six ‘Big Ideas’:</w:t>
            </w:r>
          </w:p>
          <w:p w:rsidR="00000000" w:rsidDel="00000000" w:rsidP="00000000" w:rsidRDefault="00000000" w:rsidRPr="00000000" w14:paraId="0000002F">
            <w:pPr>
              <w:widowControl w:val="0"/>
              <w:numPr>
                <w:ilvl w:val="0"/>
                <w:numId w:val="3"/>
              </w:numPr>
              <w:spacing w:after="0" w:line="216" w:lineRule="auto"/>
              <w:ind w:left="720" w:hanging="360"/>
              <w:rPr>
                <w:color w:val="000000"/>
                <w:sz w:val="22"/>
                <w:szCs w:val="22"/>
              </w:rPr>
            </w:pPr>
            <w:r w:rsidDel="00000000" w:rsidR="00000000" w:rsidRPr="00000000">
              <w:rPr>
                <w:rtl w:val="0"/>
              </w:rPr>
              <w:t xml:space="preserve">Peace and freedom</w:t>
            </w:r>
            <w:r w:rsidDel="00000000" w:rsidR="00000000" w:rsidRPr="00000000">
              <w:rPr>
                <w:rtl w:val="0"/>
              </w:rPr>
            </w:r>
          </w:p>
          <w:p w:rsidR="00000000" w:rsidDel="00000000" w:rsidP="00000000" w:rsidRDefault="00000000" w:rsidRPr="00000000" w14:paraId="00000030">
            <w:pPr>
              <w:widowControl w:val="0"/>
              <w:numPr>
                <w:ilvl w:val="0"/>
                <w:numId w:val="3"/>
              </w:numPr>
              <w:spacing w:after="0" w:line="216" w:lineRule="auto"/>
              <w:ind w:left="720" w:hanging="360"/>
              <w:rPr/>
            </w:pPr>
            <w:r w:rsidDel="00000000" w:rsidR="00000000" w:rsidRPr="00000000">
              <w:rPr>
                <w:rtl w:val="0"/>
              </w:rPr>
              <w:t xml:space="preserve">Equity and social justice</w:t>
            </w:r>
          </w:p>
          <w:p w:rsidR="00000000" w:rsidDel="00000000" w:rsidP="00000000" w:rsidRDefault="00000000" w:rsidRPr="00000000" w14:paraId="00000031">
            <w:pPr>
              <w:widowControl w:val="0"/>
              <w:numPr>
                <w:ilvl w:val="0"/>
                <w:numId w:val="3"/>
              </w:numPr>
              <w:spacing w:after="0" w:line="216" w:lineRule="auto"/>
              <w:ind w:left="720" w:hanging="360"/>
              <w:rPr/>
            </w:pPr>
            <w:r w:rsidDel="00000000" w:rsidR="00000000" w:rsidRPr="00000000">
              <w:rPr>
                <w:rtl w:val="0"/>
              </w:rPr>
              <w:t xml:space="preserve">Sustainability and the environment </w:t>
            </w:r>
          </w:p>
          <w:p w:rsidR="00000000" w:rsidDel="00000000" w:rsidP="00000000" w:rsidRDefault="00000000" w:rsidRPr="00000000" w14:paraId="00000032">
            <w:pPr>
              <w:widowControl w:val="0"/>
              <w:numPr>
                <w:ilvl w:val="0"/>
                <w:numId w:val="3"/>
              </w:numPr>
              <w:spacing w:after="0" w:line="216" w:lineRule="auto"/>
              <w:ind w:left="720" w:hanging="360"/>
              <w:rPr/>
            </w:pPr>
            <w:r w:rsidDel="00000000" w:rsidR="00000000" w:rsidRPr="00000000">
              <w:rPr>
                <w:rtl w:val="0"/>
              </w:rPr>
              <w:t xml:space="preserve">Participation and citizenship </w:t>
            </w:r>
          </w:p>
          <w:p w:rsidR="00000000" w:rsidDel="00000000" w:rsidP="00000000" w:rsidRDefault="00000000" w:rsidRPr="00000000" w14:paraId="00000033">
            <w:pPr>
              <w:widowControl w:val="0"/>
              <w:numPr>
                <w:ilvl w:val="0"/>
                <w:numId w:val="3"/>
              </w:numPr>
              <w:spacing w:after="0" w:line="216" w:lineRule="auto"/>
              <w:ind w:left="720" w:hanging="360"/>
              <w:rPr/>
            </w:pPr>
            <w:r w:rsidDel="00000000" w:rsidR="00000000" w:rsidRPr="00000000">
              <w:rPr>
                <w:rtl w:val="0"/>
              </w:rPr>
              <w:t xml:space="preserve">Health and wellbeing </w:t>
            </w:r>
          </w:p>
          <w:p w:rsidR="00000000" w:rsidDel="00000000" w:rsidP="00000000" w:rsidRDefault="00000000" w:rsidRPr="00000000" w14:paraId="00000034">
            <w:pPr>
              <w:widowControl w:val="0"/>
              <w:numPr>
                <w:ilvl w:val="0"/>
                <w:numId w:val="3"/>
              </w:numPr>
              <w:spacing w:after="120" w:line="216" w:lineRule="auto"/>
              <w:ind w:left="720" w:hanging="360"/>
              <w:rPr/>
            </w:pPr>
            <w:r w:rsidDel="00000000" w:rsidR="00000000" w:rsidRPr="00000000">
              <w:rPr>
                <w:rtl w:val="0"/>
              </w:rPr>
              <w:t xml:space="preserve">Diversity and identity</w:t>
            </w:r>
          </w:p>
          <w:p w:rsidR="00000000" w:rsidDel="00000000" w:rsidP="00000000" w:rsidRDefault="00000000" w:rsidRPr="00000000" w14:paraId="00000035">
            <w:pPr>
              <w:spacing w:after="120" w:lineRule="auto"/>
              <w:rPr/>
            </w:pPr>
            <w:r w:rsidDel="00000000" w:rsidR="00000000" w:rsidRPr="00000000">
              <w:rPr>
                <w:rtl w:val="0"/>
              </w:rPr>
              <w:t xml:space="preserve"> These ‘Big Ideas’ incorporate not only what happens in lessons but also what happens across school life and culture and runs through our commitment to:</w:t>
            </w:r>
          </w:p>
          <w:p w:rsidR="00000000" w:rsidDel="00000000" w:rsidP="00000000" w:rsidRDefault="00000000" w:rsidRPr="00000000" w14:paraId="00000036">
            <w:pPr>
              <w:numPr>
                <w:ilvl w:val="0"/>
                <w:numId w:val="2"/>
              </w:numPr>
              <w:spacing w:after="0" w:lineRule="auto"/>
              <w:ind w:left="720" w:hanging="360"/>
              <w:rPr/>
            </w:pPr>
            <w:r w:rsidDel="00000000" w:rsidR="00000000" w:rsidRPr="00000000">
              <w:rPr>
                <w:rtl w:val="0"/>
              </w:rPr>
              <w:t xml:space="preserve">teaching children about the agenda around ‘Rights Respecting Schools’, for which we have achieved the Silver Award. </w:t>
            </w:r>
          </w:p>
          <w:p w:rsidR="00000000" w:rsidDel="00000000" w:rsidP="00000000" w:rsidRDefault="00000000" w:rsidRPr="00000000" w14:paraId="00000037">
            <w:pPr>
              <w:numPr>
                <w:ilvl w:val="0"/>
                <w:numId w:val="2"/>
              </w:numPr>
              <w:spacing w:after="0" w:lineRule="auto"/>
              <w:ind w:left="720" w:hanging="360"/>
              <w:rPr/>
            </w:pPr>
            <w:r w:rsidDel="00000000" w:rsidR="00000000" w:rsidRPr="00000000">
              <w:rPr>
                <w:rtl w:val="0"/>
              </w:rPr>
              <w:t xml:space="preserve">embedding British Values and exploring what this means within our community.</w:t>
            </w:r>
          </w:p>
          <w:p w:rsidR="00000000" w:rsidDel="00000000" w:rsidP="00000000" w:rsidRDefault="00000000" w:rsidRPr="00000000" w14:paraId="00000038">
            <w:pPr>
              <w:numPr>
                <w:ilvl w:val="0"/>
                <w:numId w:val="2"/>
              </w:numPr>
              <w:spacing w:after="120" w:lineRule="auto"/>
              <w:ind w:left="720" w:hanging="360"/>
              <w:rPr/>
            </w:pPr>
            <w:r w:rsidDel="00000000" w:rsidR="00000000" w:rsidRPr="00000000">
              <w:rPr>
                <w:rtl w:val="0"/>
              </w:rPr>
              <w:t xml:space="preserve">using the ‘Norfolk Navigators’ to support pupils' personal development, focused on being curious, knowledgeable, excited, ambitious, reflective, articulate and resilient. and inspired. </w:t>
            </w:r>
          </w:p>
          <w:p w:rsidR="00000000" w:rsidDel="00000000" w:rsidP="00000000" w:rsidRDefault="00000000" w:rsidRPr="00000000" w14:paraId="00000039">
            <w:pPr>
              <w:rPr/>
            </w:pPr>
            <w:r w:rsidDel="00000000" w:rsidR="00000000" w:rsidRPr="00000000">
              <w:rPr>
                <w:rtl w:val="0"/>
              </w:rPr>
              <w:t xml:space="preserve">High-quality teaching is at the heart of our approach, with a focus on areas in which disadvantaged pupils require the most support. This approach is proven to have the greatest impact on closing the disadvantage attainment gap and at the same time will benefit the non-disadvantaged pupils in our school.</w:t>
            </w:r>
          </w:p>
        </w:tc>
      </w:tr>
    </w:tbl>
    <w:p w:rsidR="00000000" w:rsidDel="00000000" w:rsidP="00000000" w:rsidRDefault="00000000" w:rsidRPr="00000000" w14:paraId="0000003A">
      <w:pPr>
        <w:pStyle w:val="Heading2"/>
        <w:spacing w:after="120" w:before="120" w:lineRule="auto"/>
        <w:rPr/>
      </w:pPr>
      <w:r w:rsidDel="00000000" w:rsidR="00000000" w:rsidRPr="00000000">
        <w:rPr>
          <w:rtl w:val="0"/>
        </w:rPr>
        <w:t xml:space="preserve">Challenges</w:t>
      </w:r>
    </w:p>
    <w:p w:rsidR="00000000" w:rsidDel="00000000" w:rsidP="00000000" w:rsidRDefault="00000000" w:rsidRPr="00000000" w14:paraId="0000003B">
      <w:pPr>
        <w:spacing w:after="120" w:lineRule="auto"/>
        <w:rPr/>
      </w:pPr>
      <w:r w:rsidDel="00000000" w:rsidR="00000000" w:rsidRPr="00000000">
        <w:rPr>
          <w:rtl w:val="0"/>
        </w:rPr>
        <w:t xml:space="preserve">This details the key challenges to achievement that we have identified among our disadvantaged pupils.</w:t>
      </w:r>
    </w:p>
    <w:tbl>
      <w:tblPr>
        <w:tblStyle w:val="Table4"/>
        <w:tblW w:w="948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77"/>
        <w:gridCol w:w="8009"/>
        <w:tblGridChange w:id="0">
          <w:tblGrid>
            <w:gridCol w:w="1477"/>
            <w:gridCol w:w="800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3C">
            <w:pPr>
              <w:pBdr>
                <w:top w:space="0" w:sz="0" w:val="nil"/>
                <w:left w:space="0" w:sz="0" w:val="nil"/>
                <w:bottom w:space="0" w:sz="0" w:val="nil"/>
                <w:right w:space="0" w:sz="0" w:val="nil"/>
                <w:between w:space="0" w:sz="0" w:val="nil"/>
              </w:pBdr>
              <w:spacing w:after="60" w:before="60" w:line="240" w:lineRule="auto"/>
              <w:ind w:left="57" w:right="57" w:firstLine="0"/>
              <w:rPr>
                <w:b w:val="1"/>
                <w:bCs w:val="1"/>
              </w:rPr>
            </w:pPr>
            <w:r w:rsidDel="00000000" w:rsidR="00000000" w:rsidRPr="00000000">
              <w:rPr>
                <w:b w:val="1"/>
                <w:bCs w:val="1"/>
                <w:rtl w:val="0"/>
              </w:rPr>
              <w:t xml:space="preserve">Challenge number</w:t>
            </w:r>
          </w:p>
        </w:tc>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3D">
            <w:pPr>
              <w:pBdr>
                <w:top w:space="0" w:sz="0" w:val="nil"/>
                <w:left w:space="0" w:sz="0" w:val="nil"/>
                <w:bottom w:space="0" w:sz="0" w:val="nil"/>
                <w:right w:space="0" w:sz="0" w:val="nil"/>
                <w:between w:space="0" w:sz="0" w:val="nil"/>
              </w:pBdr>
              <w:spacing w:after="60" w:before="60" w:line="240" w:lineRule="auto"/>
              <w:ind w:left="57" w:right="57" w:firstLine="0"/>
              <w:rPr>
                <w:b w:val="1"/>
                <w:bCs w:val="1"/>
              </w:rPr>
            </w:pPr>
            <w:r w:rsidDel="00000000" w:rsidR="00000000" w:rsidRPr="00000000">
              <w:rPr>
                <w:b w:val="1"/>
                <w:bCs w:val="1"/>
                <w:rtl w:val="0"/>
              </w:rPr>
              <w:t xml:space="preserve">Detail of challenge </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3E">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3F">
            <w:pPr>
              <w:pBdr>
                <w:top w:space="0" w:sz="0" w:val="nil"/>
                <w:left w:space="0" w:sz="0" w:val="nil"/>
                <w:bottom w:space="0" w:sz="0" w:val="nil"/>
                <w:right w:space="0" w:sz="0" w:val="nil"/>
                <w:between w:space="0" w:sz="0" w:val="nil"/>
              </w:pBdr>
              <w:spacing w:after="60" w:before="60" w:line="240" w:lineRule="auto"/>
              <w:ind w:left="57" w:right="57" w:firstLine="0"/>
              <w:rPr>
                <w:b w:val="1"/>
                <w:bCs w:val="1"/>
                <w:sz w:val="22"/>
                <w:szCs w:val="22"/>
              </w:rPr>
            </w:pPr>
            <w:r w:rsidDel="00000000" w:rsidR="00000000" w:rsidRPr="00000000">
              <w:rPr>
                <w:b w:val="1"/>
                <w:bCs w:val="1"/>
                <w:sz w:val="22"/>
                <w:szCs w:val="22"/>
                <w:rtl w:val="0"/>
              </w:rPr>
              <w:t xml:space="preserve">Poor communication and oral skills across school which impact on children’s relationships and access to the curriculum</w:t>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60" w:before="60" w:line="240" w:lineRule="auto"/>
              <w:ind w:left="57" w:right="57" w:firstLine="0"/>
              <w:rPr>
                <w:color w:val="000000"/>
                <w:sz w:val="22"/>
                <w:szCs w:val="22"/>
              </w:rPr>
            </w:pPr>
            <w:r w:rsidDel="00000000" w:rsidR="00000000" w:rsidRPr="00000000">
              <w:rPr>
                <w:color w:val="000000"/>
                <w:sz w:val="22"/>
                <w:szCs w:val="22"/>
                <w:rtl w:val="0"/>
              </w:rPr>
              <w:t xml:space="preserve">At the end of 2022/2023, only 42% of our Reception children attained age expected within their speaking skills. There was a gap of 8.7% between disadvantaged children compared to non-disadvantaged within this area.</w:t>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after="60" w:before="60" w:line="240" w:lineRule="auto"/>
              <w:ind w:left="57" w:right="57" w:firstLine="0"/>
              <w:rPr>
                <w:color w:val="000000"/>
                <w:sz w:val="22"/>
                <w:szCs w:val="22"/>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spacing w:after="60" w:before="60" w:line="240" w:lineRule="auto"/>
              <w:ind w:left="57" w:right="57" w:firstLine="0"/>
              <w:rPr>
                <w:color w:val="000000"/>
                <w:sz w:val="22"/>
                <w:szCs w:val="22"/>
              </w:rPr>
            </w:pPr>
            <w:r w:rsidDel="00000000" w:rsidR="00000000" w:rsidRPr="00000000">
              <w:rPr>
                <w:color w:val="000000"/>
                <w:sz w:val="22"/>
                <w:szCs w:val="22"/>
                <w:rtl w:val="0"/>
              </w:rPr>
              <w:t xml:space="preserve">However due to provision implemented through the PP strategy, outcomes show significant progress was made in 2025/2026 with 75% of our Reception children attaining expected in speaking and the gap between PP and None-PP being narrowed to less than 8%. Therefore we want to continue to embed practice and provision identified as being successful. </w:t>
            </w:r>
          </w:p>
          <w:p w:rsidR="00000000" w:rsidDel="00000000" w:rsidP="00000000" w:rsidRDefault="00000000" w:rsidRPr="00000000" w14:paraId="00000043">
            <w:pPr>
              <w:pBdr>
                <w:top w:space="0" w:sz="0" w:val="nil"/>
                <w:left w:space="0" w:sz="0" w:val="nil"/>
                <w:bottom w:space="0" w:sz="0" w:val="nil"/>
                <w:right w:space="0" w:sz="0" w:val="nil"/>
                <w:between w:space="0" w:sz="0" w:val="nil"/>
              </w:pBdr>
              <w:spacing w:after="60" w:before="60" w:line="240" w:lineRule="auto"/>
              <w:ind w:left="57" w:right="57" w:firstLine="0"/>
              <w:rPr>
                <w:color w:val="ff0000"/>
                <w:sz w:val="22"/>
                <w:szCs w:val="22"/>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spacing w:after="60" w:before="60" w:line="240" w:lineRule="auto"/>
              <w:ind w:left="57" w:right="57" w:firstLine="0"/>
              <w:rPr>
                <w:color w:val="000000"/>
                <w:sz w:val="22"/>
                <w:szCs w:val="22"/>
              </w:rPr>
            </w:pPr>
            <w:r w:rsidDel="00000000" w:rsidR="00000000" w:rsidRPr="00000000">
              <w:rPr>
                <w:color w:val="000000"/>
                <w:sz w:val="22"/>
                <w:szCs w:val="22"/>
                <w:rtl w:val="0"/>
              </w:rPr>
              <w:t xml:space="preserve">Qualitative data in KS1 shows that teachers report a significant challenge in teaching across the curriculum due to children’s poor vocabulary skills and knowledge. </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5">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6">
            <w:pPr>
              <w:pBdr>
                <w:top w:space="0" w:sz="0" w:val="nil"/>
                <w:left w:space="0" w:sz="0" w:val="nil"/>
                <w:bottom w:space="0" w:sz="0" w:val="nil"/>
                <w:right w:space="0" w:sz="0" w:val="nil"/>
                <w:between w:space="0" w:sz="0" w:val="nil"/>
              </w:pBdr>
              <w:spacing w:after="60" w:before="60" w:line="240" w:lineRule="auto"/>
              <w:ind w:right="57"/>
              <w:rPr>
                <w:b w:val="1"/>
                <w:bCs w:val="1"/>
                <w:sz w:val="22"/>
                <w:szCs w:val="22"/>
              </w:rPr>
            </w:pPr>
            <w:r w:rsidDel="00000000" w:rsidR="00000000" w:rsidRPr="00000000">
              <w:rPr>
                <w:b w:val="1"/>
                <w:bCs w:val="1"/>
                <w:sz w:val="22"/>
                <w:szCs w:val="22"/>
                <w:rtl w:val="0"/>
              </w:rPr>
              <w:t xml:space="preserve">Limited experience of early reading, adult interactions and life experiences leads to a delay in Early Reading, affecting phonics outcomes in the EYFS and KS1</w:t>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after="60" w:before="60" w:line="240" w:lineRule="auto"/>
              <w:ind w:right="57"/>
              <w:rPr>
                <w:color w:val="000000"/>
                <w:sz w:val="22"/>
                <w:szCs w:val="22"/>
              </w:rPr>
            </w:pPr>
            <w:r w:rsidDel="00000000" w:rsidR="00000000" w:rsidRPr="00000000">
              <w:rPr>
                <w:color w:val="000000"/>
                <w:sz w:val="22"/>
                <w:szCs w:val="22"/>
                <w:rtl w:val="0"/>
              </w:rPr>
              <w:t xml:space="preserve">56.6% of children in FS2 achieved age expected in reading at the end of 2024/2025 (an increase of 4% since the last academic year). There was a gap of 22.6% between disadvantaged pupils compared to non-disadvantaged. </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8">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3</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9">
            <w:pPr>
              <w:pBdr>
                <w:top w:space="0" w:sz="0" w:val="nil"/>
                <w:left w:space="0" w:sz="0" w:val="nil"/>
                <w:bottom w:space="0" w:sz="0" w:val="nil"/>
                <w:right w:space="0" w:sz="0" w:val="nil"/>
                <w:between w:space="0" w:sz="0" w:val="nil"/>
              </w:pBdr>
              <w:spacing w:after="60" w:before="60" w:line="240" w:lineRule="auto"/>
              <w:ind w:left="57" w:right="57" w:firstLine="0"/>
              <w:rPr>
                <w:b w:val="1"/>
                <w:bCs w:val="1"/>
                <w:sz w:val="22"/>
                <w:szCs w:val="22"/>
              </w:rPr>
            </w:pPr>
            <w:r w:rsidDel="00000000" w:rsidR="00000000" w:rsidRPr="00000000">
              <w:rPr>
                <w:b w:val="1"/>
                <w:bCs w:val="1"/>
                <w:sz w:val="22"/>
                <w:szCs w:val="22"/>
                <w:rtl w:val="0"/>
              </w:rPr>
              <w:t xml:space="preserve">There remains a historical gap between the outcomes and attainment of our pupil premium pupils compared to non-pupil premium across all areas of the curriculum. </w:t>
            </w:r>
          </w:p>
          <w:tbl>
            <w:tblPr>
              <w:tblStyle w:val="Table5"/>
              <w:tblW w:w="7735.999999999999" w:type="dxa"/>
              <w:jc w:val="left"/>
              <w:tblInd w:w="57.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48"/>
              <w:gridCol w:w="1547"/>
              <w:gridCol w:w="1547"/>
              <w:gridCol w:w="1547"/>
              <w:gridCol w:w="1547"/>
              <w:tblGridChange w:id="0">
                <w:tblGrid>
                  <w:gridCol w:w="1548"/>
                  <w:gridCol w:w="1547"/>
                  <w:gridCol w:w="1547"/>
                  <w:gridCol w:w="1547"/>
                  <w:gridCol w:w="1547"/>
                </w:tblGrid>
              </w:tblGridChange>
            </w:tblGrid>
            <w:tr>
              <w:trPr>
                <w:cantSplit w:val="0"/>
                <w:tblHeader w:val="0"/>
              </w:trPr>
              <w:tc>
                <w:tcPr>
                  <w:tcMar>
                    <w:top w:w="100.0" w:type="dxa"/>
                    <w:left w:w="100.0" w:type="dxa"/>
                    <w:bottom w:w="100.0" w:type="dxa"/>
                    <w:right w:w="100.0" w:type="dxa"/>
                  </w:tcMar>
                </w:tcPr>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pacing w:after="0" w:line="240" w:lineRule="auto"/>
                    <w:rPr>
                      <w:b w:val="1"/>
                      <w:bCs w:val="1"/>
                      <w:color w:val="000000"/>
                      <w:sz w:val="22"/>
                      <w:szCs w:val="22"/>
                    </w:rPr>
                  </w:pPr>
                  <w:r w:rsidDel="00000000" w:rsidR="00000000" w:rsidRPr="00000000">
                    <w:rPr>
                      <w:b w:val="1"/>
                      <w:bCs w:val="1"/>
                      <w:color w:val="000000"/>
                      <w:sz w:val="22"/>
                      <w:szCs w:val="22"/>
                      <w:rtl w:val="0"/>
                    </w:rPr>
                    <w:t xml:space="preserve">2024/2025</w:t>
                  </w:r>
                </w:p>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pacing w:after="0" w:line="240" w:lineRule="auto"/>
                    <w:rPr>
                      <w:b w:val="1"/>
                      <w:bCs w:val="1"/>
                      <w:color w:val="000000"/>
                      <w:sz w:val="22"/>
                      <w:szCs w:val="22"/>
                    </w:rPr>
                  </w:pPr>
                  <w:r w:rsidDel="00000000" w:rsidR="00000000" w:rsidRPr="00000000">
                    <w:rPr>
                      <w:b w:val="1"/>
                      <w:bCs w:val="1"/>
                      <w:color w:val="000000"/>
                      <w:sz w:val="22"/>
                      <w:szCs w:val="22"/>
                      <w:highlight w:val="yellow"/>
                      <w:rtl w:val="0"/>
                    </w:rPr>
                    <w:t xml:space="preserve">PP</w:t>
                  </w:r>
                  <w:r w:rsidDel="00000000" w:rsidR="00000000" w:rsidRPr="00000000">
                    <w:rPr>
                      <w:b w:val="1"/>
                      <w:bCs w:val="1"/>
                      <w:color w:val="000000"/>
                      <w:sz w:val="22"/>
                      <w:szCs w:val="22"/>
                      <w:rtl w:val="0"/>
                    </w:rPr>
                    <w:t xml:space="preserve">/NON PP</w:t>
                  </w:r>
                </w:p>
              </w:tc>
              <w:tc>
                <w:tcPr>
                  <w:tcMar>
                    <w:top w:w="100.0" w:type="dxa"/>
                    <w:left w:w="100.0" w:type="dxa"/>
                    <w:bottom w:w="100.0" w:type="dxa"/>
                    <w:right w:w="100.0" w:type="dxa"/>
                  </w:tcMar>
                </w:tcPr>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pacing w:after="0" w:line="240" w:lineRule="auto"/>
                    <w:rPr>
                      <w:b w:val="1"/>
                      <w:bCs w:val="1"/>
                      <w:color w:val="000000"/>
                      <w:sz w:val="22"/>
                      <w:szCs w:val="22"/>
                    </w:rPr>
                  </w:pPr>
                  <w:r w:rsidDel="00000000" w:rsidR="00000000" w:rsidRPr="00000000">
                    <w:rPr>
                      <w:b w:val="1"/>
                      <w:bCs w:val="1"/>
                      <w:color w:val="000000"/>
                      <w:sz w:val="22"/>
                      <w:szCs w:val="22"/>
                      <w:rtl w:val="0"/>
                    </w:rPr>
                    <w:t xml:space="preserve">Reading </w:t>
                  </w:r>
                </w:p>
              </w:tc>
              <w:tc>
                <w:tcPr>
                  <w:tcMar>
                    <w:top w:w="100.0" w:type="dxa"/>
                    <w:left w:w="100.0" w:type="dxa"/>
                    <w:bottom w:w="100.0" w:type="dxa"/>
                    <w:right w:w="100.0" w:type="dxa"/>
                  </w:tcMar>
                </w:tcPr>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pacing w:after="0" w:line="240" w:lineRule="auto"/>
                    <w:rPr>
                      <w:b w:val="1"/>
                      <w:bCs w:val="1"/>
                      <w:color w:val="000000"/>
                      <w:sz w:val="22"/>
                      <w:szCs w:val="22"/>
                    </w:rPr>
                  </w:pPr>
                  <w:r w:rsidDel="00000000" w:rsidR="00000000" w:rsidRPr="00000000">
                    <w:rPr>
                      <w:b w:val="1"/>
                      <w:bCs w:val="1"/>
                      <w:color w:val="000000"/>
                      <w:sz w:val="22"/>
                      <w:szCs w:val="22"/>
                      <w:rtl w:val="0"/>
                    </w:rPr>
                    <w:t xml:space="preserve">Writing </w:t>
                  </w:r>
                </w:p>
              </w:tc>
              <w:tc>
                <w:tcPr>
                  <w:tcMar>
                    <w:top w:w="100.0" w:type="dxa"/>
                    <w:left w:w="100.0" w:type="dxa"/>
                    <w:bottom w:w="100.0" w:type="dxa"/>
                    <w:right w:w="100.0" w:type="dxa"/>
                  </w:tcMar>
                </w:tcPr>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spacing w:after="0" w:line="240" w:lineRule="auto"/>
                    <w:rPr>
                      <w:b w:val="1"/>
                      <w:bCs w:val="1"/>
                      <w:color w:val="000000"/>
                      <w:sz w:val="22"/>
                      <w:szCs w:val="22"/>
                    </w:rPr>
                  </w:pPr>
                  <w:r w:rsidDel="00000000" w:rsidR="00000000" w:rsidRPr="00000000">
                    <w:rPr>
                      <w:b w:val="1"/>
                      <w:bCs w:val="1"/>
                      <w:color w:val="000000"/>
                      <w:sz w:val="22"/>
                      <w:szCs w:val="22"/>
                      <w:rtl w:val="0"/>
                    </w:rPr>
                    <w:t xml:space="preserve">Maths</w:t>
                  </w:r>
                </w:p>
              </w:tc>
              <w:tc>
                <w:tcPr>
                  <w:tcMar>
                    <w:top w:w="100.0" w:type="dxa"/>
                    <w:left w:w="100.0" w:type="dxa"/>
                    <w:bottom w:w="100.0" w:type="dxa"/>
                    <w:right w:w="100.0" w:type="dxa"/>
                  </w:tcMar>
                </w:tcPr>
                <w:p w:rsidR="00000000" w:rsidDel="00000000" w:rsidP="00000000" w:rsidRDefault="00000000" w:rsidRPr="00000000" w14:paraId="0000004F">
                  <w:pPr>
                    <w:widowControl w:val="0"/>
                    <w:pBdr>
                      <w:top w:space="0" w:sz="0" w:val="nil"/>
                      <w:left w:space="0" w:sz="0" w:val="nil"/>
                      <w:bottom w:space="0" w:sz="0" w:val="nil"/>
                      <w:right w:space="0" w:sz="0" w:val="nil"/>
                      <w:between w:space="0" w:sz="0" w:val="nil"/>
                    </w:pBdr>
                    <w:spacing w:after="0" w:line="240" w:lineRule="auto"/>
                    <w:rPr>
                      <w:b w:val="1"/>
                      <w:bCs w:val="1"/>
                      <w:color w:val="000000"/>
                      <w:sz w:val="22"/>
                      <w:szCs w:val="22"/>
                    </w:rPr>
                  </w:pPr>
                  <w:r w:rsidDel="00000000" w:rsidR="00000000" w:rsidRPr="00000000">
                    <w:rPr>
                      <w:b w:val="1"/>
                      <w:bCs w:val="1"/>
                      <w:color w:val="000000"/>
                      <w:sz w:val="22"/>
                      <w:szCs w:val="22"/>
                      <w:rtl w:val="0"/>
                    </w:rPr>
                    <w:t xml:space="preserve">Combined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spacing w:after="0" w:line="240" w:lineRule="auto"/>
                    <w:rPr>
                      <w:b w:val="1"/>
                      <w:bCs w:val="1"/>
                      <w:color w:val="000000"/>
                      <w:sz w:val="22"/>
                      <w:szCs w:val="22"/>
                    </w:rPr>
                  </w:pPr>
                  <w:r w:rsidDel="00000000" w:rsidR="00000000" w:rsidRPr="00000000">
                    <w:rPr>
                      <w:b w:val="1"/>
                      <w:bCs w:val="1"/>
                      <w:color w:val="000000"/>
                      <w:sz w:val="22"/>
                      <w:szCs w:val="22"/>
                      <w:rtl w:val="0"/>
                    </w:rPr>
                    <w:t xml:space="preserve">FS2 </w:t>
                  </w:r>
                </w:p>
              </w:tc>
              <w:tc>
                <w:tcPr>
                  <w:tcMar>
                    <w:top w:w="100.0" w:type="dxa"/>
                    <w:left w:w="100.0" w:type="dxa"/>
                    <w:bottom w:w="100.0" w:type="dxa"/>
                    <w:right w:w="100.0" w:type="dxa"/>
                  </w:tcMar>
                </w:tcPr>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spacing w:after="0" w:line="240" w:lineRule="auto"/>
                    <w:rPr>
                      <w:b w:val="1"/>
                      <w:bCs w:val="1"/>
                      <w:color w:val="000000"/>
                      <w:sz w:val="16"/>
                      <w:szCs w:val="16"/>
                      <w:highlight w:val="yellow"/>
                    </w:rPr>
                  </w:pPr>
                  <w:r w:rsidDel="00000000" w:rsidR="00000000" w:rsidRPr="00000000">
                    <w:rPr>
                      <w:b w:val="1"/>
                      <w:bCs w:val="1"/>
                      <w:color w:val="000000"/>
                      <w:sz w:val="16"/>
                      <w:szCs w:val="16"/>
                      <w:highlight w:val="yellow"/>
                      <w:rtl w:val="0"/>
                    </w:rPr>
                    <w:t xml:space="preserve">36%</w:t>
                  </w:r>
                </w:p>
                <w:p w:rsidR="00000000" w:rsidDel="00000000" w:rsidP="00000000" w:rsidRDefault="00000000" w:rsidRPr="00000000" w14:paraId="00000052">
                  <w:pPr>
                    <w:widowControl w:val="0"/>
                    <w:pBdr>
                      <w:top w:space="0" w:sz="0" w:val="nil"/>
                      <w:left w:space="0" w:sz="0" w:val="nil"/>
                      <w:bottom w:space="0" w:sz="0" w:val="nil"/>
                      <w:right w:space="0" w:sz="0" w:val="nil"/>
                      <w:between w:space="0" w:sz="0" w:val="nil"/>
                    </w:pBdr>
                    <w:spacing w:after="0" w:line="240" w:lineRule="auto"/>
                    <w:rPr>
                      <w:b w:val="1"/>
                      <w:bCs w:val="1"/>
                      <w:color w:val="000000"/>
                      <w:sz w:val="16"/>
                      <w:szCs w:val="16"/>
                    </w:rPr>
                  </w:pPr>
                  <w:r w:rsidDel="00000000" w:rsidR="00000000" w:rsidRPr="00000000">
                    <w:rPr>
                      <w:b w:val="1"/>
                      <w:bCs w:val="1"/>
                      <w:color w:val="000000"/>
                      <w:sz w:val="16"/>
                      <w:szCs w:val="16"/>
                      <w:rtl w:val="0"/>
                    </w:rPr>
                    <w:t xml:space="preserve">60%</w:t>
                  </w:r>
                </w:p>
              </w:tc>
              <w:tc>
                <w:tcPr>
                  <w:tcMar>
                    <w:top w:w="100.0" w:type="dxa"/>
                    <w:left w:w="100.0" w:type="dxa"/>
                    <w:bottom w:w="100.0" w:type="dxa"/>
                    <w:right w:w="100.0" w:type="dxa"/>
                  </w:tcMar>
                </w:tcPr>
                <w:p w:rsidR="00000000" w:rsidDel="00000000" w:rsidP="00000000" w:rsidRDefault="00000000" w:rsidRPr="00000000" w14:paraId="00000053">
                  <w:pPr>
                    <w:widowControl w:val="0"/>
                    <w:pBdr>
                      <w:top w:space="0" w:sz="0" w:val="nil"/>
                      <w:left w:space="0" w:sz="0" w:val="nil"/>
                      <w:bottom w:space="0" w:sz="0" w:val="nil"/>
                      <w:right w:space="0" w:sz="0" w:val="nil"/>
                      <w:between w:space="0" w:sz="0" w:val="nil"/>
                    </w:pBdr>
                    <w:spacing w:after="0" w:line="240" w:lineRule="auto"/>
                    <w:rPr>
                      <w:b w:val="1"/>
                      <w:bCs w:val="1"/>
                      <w:color w:val="000000"/>
                      <w:sz w:val="16"/>
                      <w:szCs w:val="16"/>
                      <w:highlight w:val="yellow"/>
                    </w:rPr>
                  </w:pPr>
                  <w:r w:rsidDel="00000000" w:rsidR="00000000" w:rsidRPr="00000000">
                    <w:rPr>
                      <w:b w:val="1"/>
                      <w:bCs w:val="1"/>
                      <w:color w:val="000000"/>
                      <w:sz w:val="16"/>
                      <w:szCs w:val="16"/>
                      <w:highlight w:val="yellow"/>
                      <w:rtl w:val="0"/>
                    </w:rPr>
                    <w:t xml:space="preserve">30.3%</w:t>
                  </w:r>
                </w:p>
                <w:p w:rsidR="00000000" w:rsidDel="00000000" w:rsidP="00000000" w:rsidRDefault="00000000" w:rsidRPr="00000000" w14:paraId="00000054">
                  <w:pPr>
                    <w:widowControl w:val="0"/>
                    <w:pBdr>
                      <w:top w:space="0" w:sz="0" w:val="nil"/>
                      <w:left w:space="0" w:sz="0" w:val="nil"/>
                      <w:bottom w:space="0" w:sz="0" w:val="nil"/>
                      <w:right w:space="0" w:sz="0" w:val="nil"/>
                      <w:between w:space="0" w:sz="0" w:val="nil"/>
                    </w:pBdr>
                    <w:spacing w:after="0" w:line="240" w:lineRule="auto"/>
                    <w:rPr>
                      <w:b w:val="1"/>
                      <w:bCs w:val="1"/>
                      <w:color w:val="000000"/>
                      <w:sz w:val="16"/>
                      <w:szCs w:val="16"/>
                    </w:rPr>
                  </w:pPr>
                  <w:r w:rsidDel="00000000" w:rsidR="00000000" w:rsidRPr="00000000">
                    <w:rPr>
                      <w:b w:val="1"/>
                      <w:bCs w:val="1"/>
                      <w:color w:val="000000"/>
                      <w:sz w:val="16"/>
                      <w:szCs w:val="16"/>
                      <w:rtl w:val="0"/>
                    </w:rPr>
                    <w:t xml:space="preserve">60%</w:t>
                  </w:r>
                </w:p>
              </w:tc>
              <w:tc>
                <w:tcPr>
                  <w:tcMar>
                    <w:top w:w="100.0" w:type="dxa"/>
                    <w:left w:w="100.0" w:type="dxa"/>
                    <w:bottom w:w="100.0" w:type="dxa"/>
                    <w:right w:w="100.0" w:type="dxa"/>
                  </w:tcMar>
                </w:tcPr>
                <w:p w:rsidR="00000000" w:rsidDel="00000000" w:rsidP="00000000" w:rsidRDefault="00000000" w:rsidRPr="00000000" w14:paraId="00000055">
                  <w:pPr>
                    <w:widowControl w:val="0"/>
                    <w:spacing w:after="0" w:line="240" w:lineRule="auto"/>
                    <w:rPr>
                      <w:b w:val="1"/>
                      <w:bCs w:val="1"/>
                      <w:color w:val="000000"/>
                      <w:sz w:val="16"/>
                      <w:szCs w:val="16"/>
                      <w:highlight w:val="yellow"/>
                    </w:rPr>
                  </w:pPr>
                  <w:r w:rsidDel="00000000" w:rsidR="00000000" w:rsidRPr="00000000">
                    <w:rPr>
                      <w:b w:val="1"/>
                      <w:bCs w:val="1"/>
                      <w:color w:val="000000"/>
                      <w:sz w:val="16"/>
                      <w:szCs w:val="16"/>
                      <w:highlight w:val="yellow"/>
                      <w:rtl w:val="0"/>
                    </w:rPr>
                    <w:t xml:space="preserve">30.3%</w:t>
                  </w:r>
                </w:p>
                <w:p w:rsidR="00000000" w:rsidDel="00000000" w:rsidP="00000000" w:rsidRDefault="00000000" w:rsidRPr="00000000" w14:paraId="00000056">
                  <w:pPr>
                    <w:widowControl w:val="0"/>
                    <w:spacing w:after="0" w:line="240" w:lineRule="auto"/>
                    <w:rPr>
                      <w:b w:val="1"/>
                      <w:bCs w:val="1"/>
                      <w:color w:val="ff0000"/>
                      <w:sz w:val="16"/>
                      <w:szCs w:val="16"/>
                      <w:highlight w:val="yellow"/>
                    </w:rPr>
                  </w:pPr>
                  <w:r w:rsidDel="00000000" w:rsidR="00000000" w:rsidRPr="00000000">
                    <w:rPr>
                      <w:b w:val="1"/>
                      <w:bCs w:val="1"/>
                      <w:color w:val="000000"/>
                      <w:sz w:val="16"/>
                      <w:szCs w:val="16"/>
                      <w:rtl w:val="0"/>
                    </w:rPr>
                    <w:t xml:space="preserve">60%</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57">
                  <w:pPr>
                    <w:widowControl w:val="0"/>
                    <w:pBdr>
                      <w:top w:space="0" w:sz="0" w:val="nil"/>
                      <w:left w:space="0" w:sz="0" w:val="nil"/>
                      <w:bottom w:space="0" w:sz="0" w:val="nil"/>
                      <w:right w:space="0" w:sz="0" w:val="nil"/>
                      <w:between w:space="0" w:sz="0" w:val="nil"/>
                    </w:pBdr>
                    <w:spacing w:after="0" w:line="240" w:lineRule="auto"/>
                    <w:rPr>
                      <w:b w:val="1"/>
                      <w:bCs w:val="1"/>
                      <w:color w:val="000000"/>
                      <w:sz w:val="16"/>
                      <w:szCs w:val="16"/>
                    </w:rPr>
                  </w:pPr>
                  <w:r w:rsidDel="00000000" w:rsidR="00000000" w:rsidRPr="00000000">
                    <w:rPr>
                      <w:b w:val="1"/>
                      <w:bCs w:val="1"/>
                      <w:color w:val="000000"/>
                      <w:sz w:val="16"/>
                      <w:szCs w:val="16"/>
                      <w:rtl w:val="0"/>
                    </w:rPr>
                    <w:t xml:space="preserve">(GLD)</w:t>
                  </w:r>
                </w:p>
                <w:p w:rsidR="00000000" w:rsidDel="00000000" w:rsidP="00000000" w:rsidRDefault="00000000" w:rsidRPr="00000000" w14:paraId="00000058">
                  <w:pPr>
                    <w:widowControl w:val="0"/>
                    <w:pBdr>
                      <w:top w:space="0" w:sz="0" w:val="nil"/>
                      <w:left w:space="0" w:sz="0" w:val="nil"/>
                      <w:bottom w:space="0" w:sz="0" w:val="nil"/>
                      <w:right w:space="0" w:sz="0" w:val="nil"/>
                      <w:between w:space="0" w:sz="0" w:val="nil"/>
                    </w:pBdr>
                    <w:spacing w:after="0" w:line="240" w:lineRule="auto"/>
                    <w:rPr>
                      <w:b w:val="1"/>
                      <w:bCs w:val="1"/>
                      <w:color w:val="000000"/>
                      <w:sz w:val="16"/>
                      <w:szCs w:val="16"/>
                      <w:highlight w:val="yellow"/>
                    </w:rPr>
                  </w:pPr>
                  <w:r w:rsidDel="00000000" w:rsidR="00000000" w:rsidRPr="00000000">
                    <w:rPr>
                      <w:b w:val="1"/>
                      <w:bCs w:val="1"/>
                      <w:color w:val="000000"/>
                      <w:sz w:val="16"/>
                      <w:szCs w:val="16"/>
                      <w:highlight w:val="yellow"/>
                      <w:rtl w:val="0"/>
                    </w:rPr>
                    <w:t xml:space="preserve">30.3%</w:t>
                  </w:r>
                </w:p>
                <w:p w:rsidR="00000000" w:rsidDel="00000000" w:rsidP="00000000" w:rsidRDefault="00000000" w:rsidRPr="00000000" w14:paraId="00000059">
                  <w:pPr>
                    <w:widowControl w:val="0"/>
                    <w:pBdr>
                      <w:top w:space="0" w:sz="0" w:val="nil"/>
                      <w:left w:space="0" w:sz="0" w:val="nil"/>
                      <w:bottom w:space="0" w:sz="0" w:val="nil"/>
                      <w:right w:space="0" w:sz="0" w:val="nil"/>
                      <w:between w:space="0" w:sz="0" w:val="nil"/>
                    </w:pBdr>
                    <w:spacing w:after="0" w:line="240" w:lineRule="auto"/>
                    <w:rPr>
                      <w:b w:val="1"/>
                      <w:bCs w:val="1"/>
                      <w:color w:val="ff0000"/>
                      <w:sz w:val="16"/>
                      <w:szCs w:val="16"/>
                    </w:rPr>
                  </w:pPr>
                  <w:r w:rsidDel="00000000" w:rsidR="00000000" w:rsidRPr="00000000">
                    <w:rPr>
                      <w:b w:val="1"/>
                      <w:bCs w:val="1"/>
                      <w:color w:val="000000"/>
                      <w:sz w:val="16"/>
                      <w:szCs w:val="16"/>
                      <w:rtl w:val="0"/>
                    </w:rPr>
                    <w:t xml:space="preserve">60%</w:t>
                  </w:r>
                  <w:r w:rsidDel="00000000" w:rsidR="00000000" w:rsidRPr="00000000">
                    <w:rPr>
                      <w:b w:val="1"/>
                      <w:bCs w:val="1"/>
                      <w:color w:val="ff0000"/>
                      <w:sz w:val="16"/>
                      <w:szCs w:val="16"/>
                      <w:rtl w:val="0"/>
                    </w:rPr>
                    <w:t xml:space="preserve">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5A">
                  <w:pPr>
                    <w:widowControl w:val="0"/>
                    <w:pBdr>
                      <w:top w:space="0" w:sz="0" w:val="nil"/>
                      <w:left w:space="0" w:sz="0" w:val="nil"/>
                      <w:bottom w:space="0" w:sz="0" w:val="nil"/>
                      <w:right w:space="0" w:sz="0" w:val="nil"/>
                      <w:between w:space="0" w:sz="0" w:val="nil"/>
                    </w:pBdr>
                    <w:spacing w:after="0" w:line="240" w:lineRule="auto"/>
                    <w:rPr>
                      <w:b w:val="1"/>
                      <w:bCs w:val="1"/>
                      <w:color w:val="000000"/>
                      <w:sz w:val="22"/>
                      <w:szCs w:val="22"/>
                    </w:rPr>
                  </w:pPr>
                  <w:r w:rsidDel="00000000" w:rsidR="00000000" w:rsidRPr="00000000">
                    <w:rPr>
                      <w:b w:val="1"/>
                      <w:bCs w:val="1"/>
                      <w:color w:val="000000"/>
                      <w:sz w:val="22"/>
                      <w:szCs w:val="22"/>
                      <w:rtl w:val="0"/>
                    </w:rPr>
                    <w:t xml:space="preserve">Y6</w:t>
                  </w:r>
                </w:p>
              </w:tc>
              <w:tc>
                <w:tcPr>
                  <w:tcMar>
                    <w:top w:w="100.0" w:type="dxa"/>
                    <w:left w:w="100.0" w:type="dxa"/>
                    <w:bottom w:w="100.0" w:type="dxa"/>
                    <w:right w:w="100.0" w:type="dxa"/>
                  </w:tcMar>
                </w:tcPr>
                <w:p w:rsidR="00000000" w:rsidDel="00000000" w:rsidP="00000000" w:rsidRDefault="00000000" w:rsidRPr="00000000" w14:paraId="0000005B">
                  <w:pPr>
                    <w:widowControl w:val="0"/>
                    <w:pBdr>
                      <w:top w:space="0" w:sz="0" w:val="nil"/>
                      <w:left w:space="0" w:sz="0" w:val="nil"/>
                      <w:bottom w:space="0" w:sz="0" w:val="nil"/>
                      <w:right w:space="0" w:sz="0" w:val="nil"/>
                      <w:between w:space="0" w:sz="0" w:val="nil"/>
                    </w:pBdr>
                    <w:spacing w:after="0" w:line="240" w:lineRule="auto"/>
                    <w:rPr>
                      <w:b w:val="1"/>
                      <w:bCs w:val="1"/>
                      <w:color w:val="000000"/>
                      <w:sz w:val="18"/>
                      <w:szCs w:val="18"/>
                      <w:highlight w:val="yellow"/>
                    </w:rPr>
                  </w:pPr>
                  <w:r w:rsidDel="00000000" w:rsidR="00000000" w:rsidRPr="00000000">
                    <w:rPr>
                      <w:b w:val="1"/>
                      <w:bCs w:val="1"/>
                      <w:color w:val="000000"/>
                      <w:sz w:val="18"/>
                      <w:szCs w:val="18"/>
                      <w:highlight w:val="yellow"/>
                      <w:rtl w:val="0"/>
                    </w:rPr>
                    <w:t xml:space="preserve">29.4%</w:t>
                  </w:r>
                </w:p>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spacing w:after="0" w:line="240" w:lineRule="auto"/>
                    <w:rPr>
                      <w:b w:val="1"/>
                      <w:bCs w:val="1"/>
                      <w:color w:val="000000"/>
                      <w:sz w:val="18"/>
                      <w:szCs w:val="18"/>
                    </w:rPr>
                  </w:pPr>
                  <w:r w:rsidDel="00000000" w:rsidR="00000000" w:rsidRPr="00000000">
                    <w:rPr>
                      <w:b w:val="1"/>
                      <w:bCs w:val="1"/>
                      <w:color w:val="000000"/>
                      <w:sz w:val="18"/>
                      <w:szCs w:val="18"/>
                      <w:rtl w:val="0"/>
                    </w:rPr>
                    <w:t xml:space="preserve">76%</w:t>
                  </w:r>
                </w:p>
              </w:tc>
              <w:tc>
                <w:tcPr>
                  <w:tcMar>
                    <w:top w:w="100.0" w:type="dxa"/>
                    <w:left w:w="100.0" w:type="dxa"/>
                    <w:bottom w:w="100.0" w:type="dxa"/>
                    <w:right w:w="100.0" w:type="dxa"/>
                  </w:tcMar>
                </w:tcPr>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spacing w:after="0" w:line="240" w:lineRule="auto"/>
                    <w:rPr>
                      <w:b w:val="1"/>
                      <w:bCs w:val="1"/>
                      <w:color w:val="000000"/>
                      <w:sz w:val="18"/>
                      <w:szCs w:val="18"/>
                      <w:highlight w:val="yellow"/>
                    </w:rPr>
                  </w:pPr>
                  <w:r w:rsidDel="00000000" w:rsidR="00000000" w:rsidRPr="00000000">
                    <w:rPr>
                      <w:b w:val="1"/>
                      <w:bCs w:val="1"/>
                      <w:color w:val="000000"/>
                      <w:sz w:val="18"/>
                      <w:szCs w:val="18"/>
                      <w:highlight w:val="yellow"/>
                      <w:rtl w:val="0"/>
                    </w:rPr>
                    <w:t xml:space="preserve">25.7%</w:t>
                  </w:r>
                </w:p>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spacing w:after="0" w:line="240" w:lineRule="auto"/>
                    <w:rPr>
                      <w:b w:val="1"/>
                      <w:bCs w:val="1"/>
                      <w:color w:val="000000"/>
                      <w:sz w:val="18"/>
                      <w:szCs w:val="18"/>
                    </w:rPr>
                  </w:pPr>
                  <w:r w:rsidDel="00000000" w:rsidR="00000000" w:rsidRPr="00000000">
                    <w:rPr>
                      <w:b w:val="1"/>
                      <w:bCs w:val="1"/>
                      <w:color w:val="000000"/>
                      <w:sz w:val="18"/>
                      <w:szCs w:val="18"/>
                      <w:rtl w:val="0"/>
                    </w:rPr>
                    <w:t xml:space="preserve">80%</w:t>
                  </w:r>
                </w:p>
              </w:tc>
              <w:tc>
                <w:tcPr>
                  <w:tcMar>
                    <w:top w:w="100.0" w:type="dxa"/>
                    <w:left w:w="100.0" w:type="dxa"/>
                    <w:bottom w:w="100.0" w:type="dxa"/>
                    <w:right w:w="100.0" w:type="dxa"/>
                  </w:tcMar>
                </w:tcPr>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spacing w:after="0" w:line="240" w:lineRule="auto"/>
                    <w:rPr>
                      <w:b w:val="1"/>
                      <w:bCs w:val="1"/>
                      <w:color w:val="000000"/>
                      <w:sz w:val="18"/>
                      <w:szCs w:val="18"/>
                      <w:highlight w:val="yellow"/>
                    </w:rPr>
                  </w:pPr>
                  <w:r w:rsidDel="00000000" w:rsidR="00000000" w:rsidRPr="00000000">
                    <w:rPr>
                      <w:b w:val="1"/>
                      <w:bCs w:val="1"/>
                      <w:color w:val="000000"/>
                      <w:sz w:val="18"/>
                      <w:szCs w:val="18"/>
                      <w:highlight w:val="yellow"/>
                      <w:rtl w:val="0"/>
                    </w:rPr>
                    <w:t xml:space="preserve">29.4%</w:t>
                  </w:r>
                </w:p>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spacing w:after="0" w:line="240" w:lineRule="auto"/>
                    <w:rPr>
                      <w:b w:val="1"/>
                      <w:bCs w:val="1"/>
                      <w:color w:val="000000"/>
                      <w:sz w:val="18"/>
                      <w:szCs w:val="18"/>
                    </w:rPr>
                  </w:pPr>
                  <w:r w:rsidDel="00000000" w:rsidR="00000000" w:rsidRPr="00000000">
                    <w:rPr>
                      <w:b w:val="1"/>
                      <w:bCs w:val="1"/>
                      <w:color w:val="000000"/>
                      <w:sz w:val="18"/>
                      <w:szCs w:val="18"/>
                      <w:rtl w:val="0"/>
                    </w:rPr>
                    <w:t xml:space="preserve">76%</w:t>
                  </w:r>
                </w:p>
              </w:tc>
              <w:tc>
                <w:tcPr>
                  <w:tcMar>
                    <w:top w:w="100.0" w:type="dxa"/>
                    <w:left w:w="100.0" w:type="dxa"/>
                    <w:bottom w:w="100.0" w:type="dxa"/>
                    <w:right w:w="100.0" w:type="dxa"/>
                  </w:tcMar>
                </w:tcPr>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spacing w:after="0" w:line="240" w:lineRule="auto"/>
                    <w:rPr>
                      <w:b w:val="1"/>
                      <w:bCs w:val="1"/>
                      <w:color w:val="000000"/>
                      <w:sz w:val="18"/>
                      <w:szCs w:val="18"/>
                      <w:highlight w:val="yellow"/>
                    </w:rPr>
                  </w:pPr>
                  <w:r w:rsidDel="00000000" w:rsidR="00000000" w:rsidRPr="00000000">
                    <w:rPr>
                      <w:b w:val="1"/>
                      <w:bCs w:val="1"/>
                      <w:color w:val="000000"/>
                      <w:sz w:val="18"/>
                      <w:szCs w:val="18"/>
                      <w:highlight w:val="yellow"/>
                      <w:rtl w:val="0"/>
                    </w:rPr>
                    <w:t xml:space="preserve">11.8%</w:t>
                  </w:r>
                </w:p>
                <w:p w:rsidR="00000000" w:rsidDel="00000000" w:rsidP="00000000" w:rsidRDefault="00000000" w:rsidRPr="00000000" w14:paraId="00000062">
                  <w:pPr>
                    <w:widowControl w:val="0"/>
                    <w:pBdr>
                      <w:top w:space="0" w:sz="0" w:val="nil"/>
                      <w:left w:space="0" w:sz="0" w:val="nil"/>
                      <w:bottom w:space="0" w:sz="0" w:val="nil"/>
                      <w:right w:space="0" w:sz="0" w:val="nil"/>
                      <w:between w:space="0" w:sz="0" w:val="nil"/>
                    </w:pBdr>
                    <w:spacing w:after="0" w:line="240" w:lineRule="auto"/>
                    <w:rPr>
                      <w:b w:val="1"/>
                      <w:bCs w:val="1"/>
                      <w:color w:val="000000"/>
                      <w:sz w:val="18"/>
                      <w:szCs w:val="18"/>
                    </w:rPr>
                  </w:pPr>
                  <w:r w:rsidDel="00000000" w:rsidR="00000000" w:rsidRPr="00000000">
                    <w:rPr>
                      <w:b w:val="1"/>
                      <w:bCs w:val="1"/>
                      <w:color w:val="000000"/>
                      <w:sz w:val="18"/>
                      <w:szCs w:val="18"/>
                      <w:rtl w:val="0"/>
                    </w:rPr>
                    <w:t xml:space="preserve">68% </w:t>
                  </w:r>
                </w:p>
              </w:tc>
            </w:tr>
          </w:tbl>
          <w:p w:rsidR="00000000" w:rsidDel="00000000" w:rsidP="00000000" w:rsidRDefault="00000000" w:rsidRPr="00000000" w14:paraId="00000063">
            <w:pPr>
              <w:pBdr>
                <w:top w:space="0" w:sz="0" w:val="nil"/>
                <w:left w:space="0" w:sz="0" w:val="nil"/>
                <w:bottom w:space="0" w:sz="0" w:val="nil"/>
                <w:right w:space="0" w:sz="0" w:val="nil"/>
                <w:between w:space="0" w:sz="0" w:val="nil"/>
              </w:pBdr>
              <w:spacing w:after="60" w:before="60" w:line="240" w:lineRule="auto"/>
              <w:ind w:right="57"/>
              <w:rPr>
                <w:sz w:val="22"/>
                <w:szCs w:val="22"/>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after="60" w:before="60" w:line="240" w:lineRule="auto"/>
              <w:ind w:right="57"/>
              <w:rPr>
                <w:sz w:val="22"/>
                <w:szCs w:val="22"/>
              </w:rPr>
            </w:pPr>
            <w:r w:rsidDel="00000000" w:rsidR="00000000" w:rsidRPr="00000000">
              <w:rPr>
                <w:sz w:val="22"/>
                <w:szCs w:val="22"/>
                <w:rtl w:val="0"/>
              </w:rPr>
              <w:t xml:space="preserve">Our assessments and observations indicate that the education and well-being of many of our disadvantaged pupils has been impacted by partial school closures to a greater extent than for other pupils. These findings are supported by national studies. </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5">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4</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6">
            <w:pPr>
              <w:pBdr>
                <w:top w:space="0" w:sz="0" w:val="nil"/>
                <w:left w:space="0" w:sz="0" w:val="nil"/>
                <w:bottom w:space="0" w:sz="0" w:val="nil"/>
                <w:right w:space="0" w:sz="0" w:val="nil"/>
                <w:between w:space="0" w:sz="0" w:val="nil"/>
              </w:pBdr>
              <w:spacing w:after="60" w:before="60" w:line="240" w:lineRule="auto"/>
              <w:ind w:right="57"/>
              <w:rPr>
                <w:b w:val="1"/>
                <w:bCs w:val="1"/>
                <w:sz w:val="22"/>
                <w:szCs w:val="22"/>
              </w:rPr>
            </w:pPr>
            <w:r w:rsidDel="00000000" w:rsidR="00000000" w:rsidRPr="00000000">
              <w:rPr>
                <w:b w:val="1"/>
                <w:bCs w:val="1"/>
                <w:sz w:val="22"/>
                <w:szCs w:val="22"/>
                <w:rtl w:val="0"/>
              </w:rPr>
              <w:t xml:space="preserve">Deprivation within our school community causes a minority of pupils to display high level behaviours during the school day, on some occasions resulting in withdrawal from their classroom environments and on rare occasions resulting in suspensions.</w:t>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after="60" w:before="60" w:line="240" w:lineRule="auto"/>
              <w:ind w:right="57"/>
              <w:rPr>
                <w:color w:val="000000"/>
                <w:sz w:val="22"/>
                <w:szCs w:val="22"/>
              </w:rPr>
            </w:pPr>
            <w:r w:rsidDel="00000000" w:rsidR="00000000" w:rsidRPr="00000000">
              <w:rPr>
                <w:color w:val="000000"/>
                <w:sz w:val="22"/>
                <w:szCs w:val="22"/>
                <w:rtl w:val="0"/>
              </w:rPr>
              <w:t xml:space="preserve">Deprivation indicators suggest a marked increase since the pandemic and during the cost of living crisis, with increasing numbers of families accessing early help year on year. </w:t>
            </w:r>
          </w:p>
          <w:p w:rsidR="00000000" w:rsidDel="00000000" w:rsidP="00000000" w:rsidRDefault="00000000" w:rsidRPr="00000000" w14:paraId="00000068">
            <w:pPr>
              <w:pBdr>
                <w:top w:space="0" w:sz="0" w:val="nil"/>
                <w:left w:space="0" w:sz="0" w:val="nil"/>
                <w:bottom w:space="0" w:sz="0" w:val="nil"/>
                <w:right w:space="0" w:sz="0" w:val="nil"/>
                <w:between w:space="0" w:sz="0" w:val="nil"/>
              </w:pBdr>
              <w:spacing w:after="60" w:before="60" w:line="240" w:lineRule="auto"/>
              <w:ind w:right="57"/>
              <w:rPr>
                <w:color w:val="000000"/>
                <w:sz w:val="22"/>
                <w:szCs w:val="22"/>
              </w:rPr>
            </w:pPr>
            <w:r w:rsidDel="00000000" w:rsidR="00000000" w:rsidRPr="00000000">
              <w:rPr>
                <w:color w:val="000000"/>
                <w:sz w:val="22"/>
                <w:szCs w:val="22"/>
                <w:rtl w:val="0"/>
              </w:rPr>
              <w:t xml:space="preserve">34 children across school either have or have had social care involvement this academic year. We have made 15  referrals to our Primary Mental Health Worker with 7 of these being agreed and the rest being identified for school based support from our inclusion team.</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9">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5</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A">
            <w:pPr>
              <w:pBdr>
                <w:top w:space="0" w:sz="0" w:val="nil"/>
                <w:left w:space="0" w:sz="0" w:val="nil"/>
                <w:bottom w:space="0" w:sz="0" w:val="nil"/>
                <w:right w:space="0" w:sz="0" w:val="nil"/>
                <w:between w:space="0" w:sz="0" w:val="nil"/>
              </w:pBdr>
              <w:spacing w:after="60" w:before="60" w:line="240" w:lineRule="auto"/>
              <w:ind w:right="57"/>
              <w:rPr>
                <w:b w:val="1"/>
                <w:bCs w:val="1"/>
                <w:sz w:val="22"/>
                <w:szCs w:val="22"/>
              </w:rPr>
            </w:pPr>
            <w:r w:rsidDel="00000000" w:rsidR="00000000" w:rsidRPr="00000000">
              <w:rPr>
                <w:b w:val="1"/>
                <w:bCs w:val="1"/>
                <w:sz w:val="22"/>
                <w:szCs w:val="22"/>
                <w:rtl w:val="0"/>
              </w:rPr>
              <w:t xml:space="preserve">Our analysis indicates that attendance among disadvantaged pupils is lower than that of their peers, with persistent absence acting as a significant barrier to academic progress </w:t>
            </w:r>
          </w:p>
          <w:p w:rsidR="00000000" w:rsidDel="00000000" w:rsidP="00000000" w:rsidRDefault="00000000" w:rsidRPr="00000000" w14:paraId="0000006B">
            <w:pPr>
              <w:pBdr>
                <w:top w:space="0" w:sz="0" w:val="nil"/>
                <w:left w:space="0" w:sz="0" w:val="nil"/>
                <w:bottom w:space="0" w:sz="0" w:val="nil"/>
                <w:right w:space="0" w:sz="0" w:val="nil"/>
                <w:between w:space="0" w:sz="0" w:val="nil"/>
              </w:pBdr>
              <w:spacing w:after="60" w:before="60" w:line="240" w:lineRule="auto"/>
              <w:ind w:right="57"/>
              <w:rPr>
                <w:b w:val="1"/>
                <w:bCs w:val="1"/>
                <w:sz w:val="16"/>
                <w:szCs w:val="16"/>
              </w:rPr>
            </w:pP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after="60" w:before="60" w:line="240" w:lineRule="auto"/>
              <w:ind w:right="57"/>
              <w:rPr>
                <w:color w:val="000000"/>
                <w:sz w:val="22"/>
                <w:szCs w:val="22"/>
              </w:rPr>
            </w:pPr>
            <w:r w:rsidDel="00000000" w:rsidR="00000000" w:rsidRPr="00000000">
              <w:rPr>
                <w:sz w:val="22"/>
                <w:szCs w:val="22"/>
                <w:rtl w:val="0"/>
              </w:rPr>
              <w:t xml:space="preserve">Our most recent IDSR data shows a significant gap between our school attendance compared to national with a gap of 4.3% in 2024/25. </w:t>
            </w:r>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spacing w:after="60" w:before="60" w:line="240" w:lineRule="auto"/>
              <w:ind w:right="57"/>
              <w:rPr>
                <w:color w:val="000000"/>
                <w:sz w:val="22"/>
                <w:szCs w:val="22"/>
              </w:rPr>
            </w:pPr>
            <w:r w:rsidDel="00000000" w:rsidR="00000000" w:rsidRPr="00000000">
              <w:rPr>
                <w:color w:val="000000"/>
                <w:sz w:val="22"/>
                <w:szCs w:val="22"/>
                <w:rtl w:val="0"/>
              </w:rPr>
              <w:t xml:space="preserve">This academic year we have had a significant number of vulnerable parents/carers request more information about ‘home educating’ their children, due to concerns regarding the local area and their future at secondary school.</w:t>
            </w:r>
          </w:p>
        </w:tc>
      </w:tr>
    </w:tbl>
    <w:p w:rsidR="00000000" w:rsidDel="00000000" w:rsidP="00000000" w:rsidRDefault="00000000" w:rsidRPr="00000000" w14:paraId="0000006E">
      <w:pPr>
        <w:pStyle w:val="Heading2"/>
        <w:spacing w:after="120" w:before="120" w:lineRule="auto"/>
        <w:rPr/>
      </w:pPr>
      <w:r w:rsidDel="00000000" w:rsidR="00000000" w:rsidRPr="00000000">
        <w:rPr>
          <w:rtl w:val="0"/>
        </w:rPr>
        <w:t xml:space="preserve">Intended outcomes </w:t>
      </w:r>
    </w:p>
    <w:p w:rsidR="00000000" w:rsidDel="00000000" w:rsidP="00000000" w:rsidRDefault="00000000" w:rsidRPr="00000000" w14:paraId="0000006F">
      <w:pPr>
        <w:spacing w:after="120" w:lineRule="auto"/>
        <w:rPr/>
      </w:pPr>
      <w:r w:rsidDel="00000000" w:rsidR="00000000" w:rsidRPr="00000000">
        <w:rPr>
          <w:color w:val="000000"/>
          <w:rtl w:val="0"/>
        </w:rPr>
        <w:t xml:space="preserve">This explains the outcomes we are aiming for </w:t>
      </w:r>
      <w:r w:rsidDel="00000000" w:rsidR="00000000" w:rsidRPr="00000000">
        <w:rPr>
          <w:b w:val="1"/>
          <w:bCs w:val="1"/>
          <w:color w:val="000000"/>
          <w:rtl w:val="0"/>
        </w:rPr>
        <w:t xml:space="preserve">by the end of our current strategy plan</w:t>
      </w:r>
      <w:r w:rsidDel="00000000" w:rsidR="00000000" w:rsidRPr="00000000">
        <w:rPr>
          <w:color w:val="000000"/>
          <w:rtl w:val="0"/>
        </w:rPr>
        <w:t xml:space="preserve">, and how we will measure whether they have been achieved.</w:t>
      </w:r>
      <w:r w:rsidDel="00000000" w:rsidR="00000000" w:rsidRPr="00000000">
        <w:rPr>
          <w:rtl w:val="0"/>
        </w:rPr>
      </w:r>
    </w:p>
    <w:tbl>
      <w:tblPr>
        <w:tblStyle w:val="Table6"/>
        <w:tblW w:w="9435.0" w:type="dxa"/>
        <w:jc w:val="left"/>
        <w:tblInd w:w="4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70"/>
        <w:gridCol w:w="4665"/>
        <w:tblGridChange w:id="0">
          <w:tblGrid>
            <w:gridCol w:w="4770"/>
            <w:gridCol w:w="466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70">
            <w:pPr>
              <w:pBdr>
                <w:top w:space="0" w:sz="0" w:val="nil"/>
                <w:left w:space="0" w:sz="0" w:val="nil"/>
                <w:bottom w:space="0" w:sz="0" w:val="nil"/>
                <w:right w:space="0" w:sz="0" w:val="nil"/>
                <w:between w:space="0" w:sz="0" w:val="nil"/>
              </w:pBdr>
              <w:spacing w:after="60" w:before="60" w:line="240" w:lineRule="auto"/>
              <w:ind w:left="57" w:right="57" w:firstLine="0"/>
              <w:rPr>
                <w:b w:val="1"/>
                <w:bCs w:val="1"/>
              </w:rPr>
            </w:pPr>
            <w:r w:rsidDel="00000000" w:rsidR="00000000" w:rsidRPr="00000000">
              <w:rPr>
                <w:b w:val="1"/>
                <w:bCs w:val="1"/>
                <w:rtl w:val="0"/>
              </w:rPr>
              <w:t xml:space="preserve">Intended outcome</w:t>
            </w:r>
          </w:p>
        </w:tc>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71">
            <w:pPr>
              <w:pBdr>
                <w:top w:space="0" w:sz="0" w:val="nil"/>
                <w:left w:space="0" w:sz="0" w:val="nil"/>
                <w:bottom w:space="0" w:sz="0" w:val="nil"/>
                <w:right w:space="0" w:sz="0" w:val="nil"/>
                <w:between w:space="0" w:sz="0" w:val="nil"/>
              </w:pBdr>
              <w:spacing w:after="60" w:before="60" w:line="240" w:lineRule="auto"/>
              <w:ind w:left="57" w:right="57" w:firstLine="0"/>
              <w:rPr>
                <w:b w:val="1"/>
                <w:bCs w:val="1"/>
              </w:rPr>
            </w:pPr>
            <w:r w:rsidDel="00000000" w:rsidR="00000000" w:rsidRPr="00000000">
              <w:rPr>
                <w:b w:val="1"/>
                <w:bCs w:val="1"/>
                <w:rtl w:val="0"/>
              </w:rPr>
              <w:t xml:space="preserve">Success criteria</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2">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sz w:val="22"/>
                <w:szCs w:val="22"/>
                <w:rtl w:val="0"/>
              </w:rPr>
              <w:t xml:space="preserve">Improved oral and language skills and vocabulary among disadvantaged pupils at the end of each year group.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3">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Observations, assessments and outcomes indicate significantly improved language among disadvantaged pupils. This is evident when triangulated with other sources of evidence including oral language, assessments, engagement in lessons, book scrutiny and ongoing formative assessments. </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4">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Improved reading outcomes for disadvantaged pupils within GLD outcomes, Y1 phonics screening results and end of year 2 assessments.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5">
            <w:pPr>
              <w:pBdr>
                <w:top w:space="0" w:sz="0" w:val="nil"/>
                <w:left w:space="0" w:sz="0" w:val="nil"/>
                <w:bottom w:space="0" w:sz="0" w:val="nil"/>
                <w:right w:space="0" w:sz="0" w:val="nil"/>
                <w:between w:space="0" w:sz="0" w:val="nil"/>
              </w:pBdr>
              <w:spacing w:after="60" w:before="60" w:line="240" w:lineRule="auto"/>
              <w:ind w:right="57"/>
              <w:rPr>
                <w:sz w:val="22"/>
                <w:szCs w:val="22"/>
              </w:rPr>
            </w:pPr>
            <w:r w:rsidDel="00000000" w:rsidR="00000000" w:rsidRPr="00000000">
              <w:rPr>
                <w:sz w:val="22"/>
                <w:szCs w:val="22"/>
                <w:rtl w:val="0"/>
              </w:rPr>
              <w:t xml:space="preserve">Improved reading outcomes have a greater overall impact on GLD at the end of FS2. </w:t>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after="60" w:before="60" w:line="240" w:lineRule="auto"/>
              <w:ind w:right="57"/>
              <w:rPr>
                <w:sz w:val="22"/>
                <w:szCs w:val="22"/>
              </w:rPr>
            </w:pPr>
            <w:r w:rsidDel="00000000" w:rsidR="00000000" w:rsidRPr="00000000">
              <w:rPr>
                <w:sz w:val="22"/>
                <w:szCs w:val="22"/>
                <w:rtl w:val="0"/>
              </w:rPr>
              <w:t xml:space="preserve">Gap is narrowed between PP and Non PP attainment in Y1 phonics and Y2 reading outcomes. </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7">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Improved writing, combined and maths outcomes at the end of FS2, KS1 and KS2.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8">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KS2 outcomes show a positive trajectory over the coming three years. An increased number of disadvantaged pupils meet the expected standards at the end of each key stage. </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9">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To achieve and sustain improved wellbeing and mental health for all pupils in our school, particularly our disadvantaged pupils.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A">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Sustained high levels of well-being demonstrated by:</w:t>
            </w:r>
          </w:p>
          <w:p w:rsidR="00000000" w:rsidDel="00000000" w:rsidP="00000000" w:rsidRDefault="00000000" w:rsidRPr="00000000" w14:paraId="0000007B">
            <w:pPr>
              <w:numPr>
                <w:ilvl w:val="0"/>
                <w:numId w:val="5"/>
              </w:numPr>
              <w:pBdr>
                <w:top w:space="0" w:sz="0" w:val="nil"/>
                <w:left w:space="0" w:sz="0" w:val="nil"/>
                <w:bottom w:space="0" w:sz="0" w:val="nil"/>
                <w:right w:space="0" w:sz="0" w:val="nil"/>
                <w:between w:space="0" w:sz="0" w:val="nil"/>
              </w:pBdr>
              <w:spacing w:after="0" w:before="60" w:line="240" w:lineRule="auto"/>
              <w:ind w:left="360" w:right="57" w:hanging="360"/>
              <w:rPr>
                <w:sz w:val="22"/>
                <w:szCs w:val="22"/>
              </w:rPr>
            </w:pPr>
            <w:r w:rsidDel="00000000" w:rsidR="00000000" w:rsidRPr="00000000">
              <w:rPr>
                <w:sz w:val="22"/>
                <w:szCs w:val="22"/>
                <w:rtl w:val="0"/>
              </w:rPr>
              <w:t xml:space="preserve">Qualitative data from pupil voice, pupil and parent surveys and teacher observations</w:t>
            </w:r>
          </w:p>
          <w:p w:rsidR="00000000" w:rsidDel="00000000" w:rsidP="00000000" w:rsidRDefault="00000000" w:rsidRPr="00000000" w14:paraId="0000007C">
            <w:pPr>
              <w:numPr>
                <w:ilvl w:val="0"/>
                <w:numId w:val="5"/>
              </w:numPr>
              <w:pBdr>
                <w:top w:space="0" w:sz="0" w:val="nil"/>
                <w:left w:space="0" w:sz="0" w:val="nil"/>
                <w:bottom w:space="0" w:sz="0" w:val="nil"/>
                <w:right w:space="0" w:sz="0" w:val="nil"/>
                <w:between w:space="0" w:sz="0" w:val="nil"/>
              </w:pBdr>
              <w:spacing w:after="0" w:line="240" w:lineRule="auto"/>
              <w:ind w:left="360" w:right="57" w:hanging="360"/>
              <w:rPr>
                <w:sz w:val="22"/>
                <w:szCs w:val="22"/>
              </w:rPr>
            </w:pPr>
            <w:r w:rsidDel="00000000" w:rsidR="00000000" w:rsidRPr="00000000">
              <w:rPr>
                <w:sz w:val="22"/>
                <w:szCs w:val="22"/>
                <w:rtl w:val="0"/>
              </w:rPr>
              <w:t xml:space="preserve">A significant increase in participation in enrichment activities among disadvantaged pupils</w:t>
            </w:r>
          </w:p>
          <w:p w:rsidR="00000000" w:rsidDel="00000000" w:rsidP="00000000" w:rsidRDefault="00000000" w:rsidRPr="00000000" w14:paraId="0000007D">
            <w:pPr>
              <w:numPr>
                <w:ilvl w:val="0"/>
                <w:numId w:val="5"/>
              </w:numPr>
              <w:pBdr>
                <w:top w:space="0" w:sz="0" w:val="nil"/>
                <w:left w:space="0" w:sz="0" w:val="nil"/>
                <w:bottom w:space="0" w:sz="0" w:val="nil"/>
                <w:right w:space="0" w:sz="0" w:val="nil"/>
                <w:between w:space="0" w:sz="0" w:val="nil"/>
              </w:pBdr>
              <w:spacing w:after="0" w:line="240" w:lineRule="auto"/>
              <w:ind w:left="360" w:right="57" w:hanging="360"/>
              <w:rPr>
                <w:sz w:val="22"/>
                <w:szCs w:val="22"/>
              </w:rPr>
            </w:pPr>
            <w:r w:rsidDel="00000000" w:rsidR="00000000" w:rsidRPr="00000000">
              <w:rPr>
                <w:sz w:val="22"/>
                <w:szCs w:val="22"/>
                <w:rtl w:val="0"/>
              </w:rPr>
              <w:t xml:space="preserve">Continued reduction in fixed term suspensions across school  </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E">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To achieve and sustain improved attendance for all pupils, particularly disadvantaged pupils.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F">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Sustained high attendance from 2025/2026 demonstrated by:</w:t>
            </w:r>
          </w:p>
          <w:p w:rsidR="00000000" w:rsidDel="00000000" w:rsidP="00000000" w:rsidRDefault="00000000" w:rsidRPr="00000000" w14:paraId="00000080">
            <w:pPr>
              <w:numPr>
                <w:ilvl w:val="0"/>
                <w:numId w:val="1"/>
              </w:numPr>
              <w:pBdr>
                <w:top w:space="0" w:sz="0" w:val="nil"/>
                <w:left w:space="0" w:sz="0" w:val="nil"/>
                <w:bottom w:space="0" w:sz="0" w:val="nil"/>
                <w:right w:space="0" w:sz="0" w:val="nil"/>
                <w:between w:space="0" w:sz="0" w:val="nil"/>
              </w:pBdr>
              <w:spacing w:after="0" w:before="60" w:line="240" w:lineRule="auto"/>
              <w:ind w:left="720" w:right="57" w:hanging="360"/>
              <w:rPr>
                <w:sz w:val="22"/>
                <w:szCs w:val="22"/>
              </w:rPr>
            </w:pPr>
            <w:r w:rsidDel="00000000" w:rsidR="00000000" w:rsidRPr="00000000">
              <w:rPr>
                <w:sz w:val="22"/>
                <w:szCs w:val="22"/>
                <w:rtl w:val="0"/>
              </w:rPr>
              <w:t xml:space="preserve">The overall absence rate for all pupils being no more than 4% and there will be no gap in attendance for our disadvantaged children</w:t>
            </w:r>
          </w:p>
          <w:p w:rsidR="00000000" w:rsidDel="00000000" w:rsidP="00000000" w:rsidRDefault="00000000" w:rsidRPr="00000000" w14:paraId="00000081">
            <w:pPr>
              <w:numPr>
                <w:ilvl w:val="0"/>
                <w:numId w:val="1"/>
              </w:numPr>
              <w:pBdr>
                <w:top w:space="0" w:sz="0" w:val="nil"/>
                <w:left w:space="0" w:sz="0" w:val="nil"/>
                <w:bottom w:space="0" w:sz="0" w:val="nil"/>
                <w:right w:space="0" w:sz="0" w:val="nil"/>
                <w:between w:space="0" w:sz="0" w:val="nil"/>
              </w:pBdr>
              <w:spacing w:after="0" w:line="240" w:lineRule="auto"/>
              <w:ind w:left="720" w:right="57" w:hanging="360"/>
              <w:rPr>
                <w:sz w:val="22"/>
                <w:szCs w:val="22"/>
              </w:rPr>
            </w:pPr>
            <w:r w:rsidDel="00000000" w:rsidR="00000000" w:rsidRPr="00000000">
              <w:rPr>
                <w:sz w:val="22"/>
                <w:szCs w:val="22"/>
                <w:rtl w:val="0"/>
              </w:rPr>
              <w:t xml:space="preserve">The percentage of all pupils who are persistently absent being below 5% and the figure among disadvantaged pupils being no lower than their peers. </w:t>
            </w:r>
          </w:p>
        </w:tc>
      </w:tr>
    </w:tbl>
    <w:p w:rsidR="00000000" w:rsidDel="00000000" w:rsidP="00000000" w:rsidRDefault="00000000" w:rsidRPr="00000000" w14:paraId="00000082">
      <w:pPr>
        <w:spacing w:after="0" w:lineRule="auto"/>
        <w:rPr/>
      </w:pPr>
      <w:r w:rsidDel="00000000" w:rsidR="00000000" w:rsidRPr="00000000">
        <w:rPr>
          <w:rtl w:val="0"/>
        </w:rPr>
      </w:r>
    </w:p>
    <w:p w:rsidR="00000000" w:rsidDel="00000000" w:rsidP="00000000" w:rsidRDefault="00000000" w:rsidRPr="00000000" w14:paraId="00000083">
      <w:pPr>
        <w:pStyle w:val="Heading2"/>
        <w:spacing w:after="120" w:before="0" w:lineRule="auto"/>
        <w:rPr/>
      </w:pPr>
      <w:r w:rsidDel="00000000" w:rsidR="00000000" w:rsidRPr="00000000">
        <w:rPr>
          <w:rtl w:val="0"/>
        </w:rPr>
        <w:t xml:space="preserve">Activity in this academic year</w:t>
      </w:r>
    </w:p>
    <w:p w:rsidR="00000000" w:rsidDel="00000000" w:rsidP="00000000" w:rsidRDefault="00000000" w:rsidRPr="00000000" w14:paraId="00000084">
      <w:pPr>
        <w:spacing w:after="120" w:lineRule="auto"/>
        <w:rPr/>
      </w:pPr>
      <w:r w:rsidDel="00000000" w:rsidR="00000000" w:rsidRPr="00000000">
        <w:rPr>
          <w:rtl w:val="0"/>
        </w:rPr>
        <w:t xml:space="preserve">This details how we intend to spend our pupil premium (and recovery premium) funding </w:t>
      </w:r>
      <w:r w:rsidDel="00000000" w:rsidR="00000000" w:rsidRPr="00000000">
        <w:rPr>
          <w:b w:val="1"/>
          <w:bCs w:val="1"/>
          <w:rtl w:val="0"/>
        </w:rPr>
        <w:t xml:space="preserve">this academic year</w:t>
      </w:r>
      <w:r w:rsidDel="00000000" w:rsidR="00000000" w:rsidRPr="00000000">
        <w:rPr>
          <w:rtl w:val="0"/>
        </w:rPr>
        <w:t xml:space="preserve"> to address the challenges listed above.</w:t>
      </w:r>
    </w:p>
    <w:p w:rsidR="00000000" w:rsidDel="00000000" w:rsidP="00000000" w:rsidRDefault="00000000" w:rsidRPr="00000000" w14:paraId="00000085">
      <w:pPr>
        <w:pStyle w:val="Heading3"/>
        <w:spacing w:after="120" w:before="120" w:lineRule="auto"/>
        <w:rPr/>
      </w:pPr>
      <w:r w:rsidDel="00000000" w:rsidR="00000000" w:rsidRPr="00000000">
        <w:rPr>
          <w:rtl w:val="0"/>
        </w:rPr>
        <w:t xml:space="preserve">Teaching (for example, CPD, recruitment and retention)</w:t>
      </w:r>
    </w:p>
    <w:p w:rsidR="00000000" w:rsidDel="00000000" w:rsidP="00000000" w:rsidRDefault="00000000" w:rsidRPr="00000000" w14:paraId="00000086">
      <w:pPr>
        <w:spacing w:after="120" w:lineRule="auto"/>
        <w:rPr/>
      </w:pPr>
      <w:r w:rsidDel="00000000" w:rsidR="00000000" w:rsidRPr="00000000">
        <w:rPr>
          <w:rtl w:val="0"/>
        </w:rPr>
        <w:t xml:space="preserve">Budgeted cost:  £27,500</w:t>
      </w:r>
    </w:p>
    <w:tbl>
      <w:tblPr>
        <w:tblStyle w:val="Table7"/>
        <w:tblW w:w="948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56"/>
        <w:gridCol w:w="4677"/>
        <w:gridCol w:w="1553"/>
        <w:tblGridChange w:id="0">
          <w:tblGrid>
            <w:gridCol w:w="3256"/>
            <w:gridCol w:w="4677"/>
            <w:gridCol w:w="1553"/>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87">
            <w:pPr>
              <w:pBdr>
                <w:top w:space="0" w:sz="0" w:val="nil"/>
                <w:left w:space="0" w:sz="0" w:val="nil"/>
                <w:bottom w:space="0" w:sz="0" w:val="nil"/>
                <w:right w:space="0" w:sz="0" w:val="nil"/>
                <w:between w:space="0" w:sz="0" w:val="nil"/>
              </w:pBdr>
              <w:spacing w:after="60" w:before="60" w:line="240" w:lineRule="auto"/>
              <w:ind w:left="57" w:right="57" w:firstLine="0"/>
              <w:rPr>
                <w:b w:val="1"/>
                <w:bCs w:val="1"/>
              </w:rPr>
            </w:pPr>
            <w:r w:rsidDel="00000000" w:rsidR="00000000" w:rsidRPr="00000000">
              <w:rPr>
                <w:b w:val="1"/>
                <w:bCs w:val="1"/>
                <w:rtl w:val="0"/>
              </w:rPr>
              <w:t xml:space="preserve">Activity</w:t>
            </w:r>
          </w:p>
        </w:tc>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88">
            <w:pPr>
              <w:pBdr>
                <w:top w:space="0" w:sz="0" w:val="nil"/>
                <w:left w:space="0" w:sz="0" w:val="nil"/>
                <w:bottom w:space="0" w:sz="0" w:val="nil"/>
                <w:right w:space="0" w:sz="0" w:val="nil"/>
                <w:between w:space="0" w:sz="0" w:val="nil"/>
              </w:pBdr>
              <w:spacing w:after="60" w:before="60" w:line="240" w:lineRule="auto"/>
              <w:ind w:left="57" w:right="57" w:firstLine="0"/>
              <w:rPr>
                <w:b w:val="1"/>
                <w:bCs w:val="1"/>
              </w:rPr>
            </w:pPr>
            <w:r w:rsidDel="00000000" w:rsidR="00000000" w:rsidRPr="00000000">
              <w:rPr>
                <w:b w:val="1"/>
                <w:bCs w:val="1"/>
                <w:rtl w:val="0"/>
              </w:rPr>
              <w:t xml:space="preserve">Evidence that supports this approach</w:t>
            </w:r>
          </w:p>
        </w:tc>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89">
            <w:pPr>
              <w:pBdr>
                <w:top w:space="0" w:sz="0" w:val="nil"/>
                <w:left w:space="0" w:sz="0" w:val="nil"/>
                <w:bottom w:space="0" w:sz="0" w:val="nil"/>
                <w:right w:space="0" w:sz="0" w:val="nil"/>
                <w:between w:space="0" w:sz="0" w:val="nil"/>
              </w:pBdr>
              <w:spacing w:after="60" w:before="60" w:line="240" w:lineRule="auto"/>
              <w:ind w:left="57" w:right="57" w:firstLine="0"/>
              <w:rPr>
                <w:b w:val="1"/>
                <w:bCs w:val="1"/>
              </w:rPr>
            </w:pPr>
            <w:r w:rsidDel="00000000" w:rsidR="00000000" w:rsidRPr="00000000">
              <w:rPr>
                <w:b w:val="1"/>
                <w:bCs w:val="1"/>
                <w:rtl w:val="0"/>
              </w:rPr>
              <w:t xml:space="preserve">Challenge number(s) addressed</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A">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sz w:val="22"/>
                <w:szCs w:val="22"/>
                <w:rtl w:val="0"/>
              </w:rPr>
              <w:t xml:space="preserve">CPD to support staff in their delivery of education to support all learners.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B">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Teaching standards set by the DFE show that when teaching is good and better children achieve better progress and attainment.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C">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1, 2, 3</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D">
            <w:pPr>
              <w:spacing w:after="60" w:before="60" w:line="240" w:lineRule="auto"/>
              <w:ind w:left="57" w:right="57" w:firstLine="0"/>
              <w:rPr>
                <w:sz w:val="22"/>
                <w:szCs w:val="22"/>
              </w:rPr>
            </w:pPr>
            <w:r w:rsidDel="00000000" w:rsidR="00000000" w:rsidRPr="00000000">
              <w:rPr>
                <w:sz w:val="22"/>
                <w:szCs w:val="22"/>
                <w:rtl w:val="0"/>
              </w:rPr>
              <w:t xml:space="preserve">We will partially fund an Assistant Head to lead on curriculum development across school. They will have daily opportunities for internal skills sharing, modelling, coaching and collaborative planning with middle leaders across school.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E">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There is strong evidence that the rate at which children develop language is sensitive to the amount of input they receive from the adults and peers around them. Therefore upskilling teachers’ practice by providing them with high quality mentoring should have an impact on all the interactions children have with the adults around them.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F">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3, 4</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0">
            <w:pPr>
              <w:spacing w:after="60" w:before="60" w:line="240" w:lineRule="auto"/>
              <w:ind w:left="57" w:right="57" w:firstLine="0"/>
              <w:rPr>
                <w:sz w:val="22"/>
                <w:szCs w:val="22"/>
              </w:rPr>
            </w:pPr>
            <w:r w:rsidDel="00000000" w:rsidR="00000000" w:rsidRPr="00000000">
              <w:rPr>
                <w:sz w:val="22"/>
                <w:szCs w:val="22"/>
                <w:rtl w:val="0"/>
              </w:rPr>
              <w:t xml:space="preserve">Enhance our maths teaching and curriculum planning in line with DfE and EEF guidance.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1">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The DfE non-statutory guidance has been produced in conjunction with the National Centre for Excellence in the Teaching of Mathematics, drawing on evidence-based approaches.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2">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3</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3">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Continue Forest School: trained practitioner to deliver one day per week, half term for targeted year groups. Train up a learning mentor to continue this over the next three years.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4">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EEF Toolkit: Overall, studies of adventure learning interventions consistently show positive benefits on academic learning. On average, pupils who participate in adventure learning interventions make approximately four additional months’ progress.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5">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1, 4, 5</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6">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Continue to develop a robust communication and language support system across the whole school, including targeted support SALT support. This includes a full days SALT support per week working across school.</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7">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EEF toolkit: Overall, studies of oral language interventions consistently show positive impact on learning, including on oral language skills and reading comprehension. On average, pupils who participate in oral language interventions make approximately five months' additional progress over the course of a year.</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8">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1, 2, 3</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9">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Continue to invest in embedding Read Write Inc within school.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A">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EEF toolkit: Phonics has a positive impact overall (+5 months) with very extensive evidence and is an important component in the development of early reading skills, particularly for children from disadvantaged backgrounds.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B">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1, 2, 3</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C">
            <w:pPr>
              <w:pBdr>
                <w:top w:space="0" w:sz="0" w:val="nil"/>
                <w:left w:space="0" w:sz="0" w:val="nil"/>
                <w:bottom w:space="0" w:sz="0" w:val="nil"/>
                <w:right w:space="0" w:sz="0" w:val="nil"/>
                <w:between w:space="0" w:sz="0" w:val="nil"/>
              </w:pBdr>
              <w:spacing w:after="60" w:before="60" w:line="240" w:lineRule="auto"/>
              <w:ind w:right="57"/>
              <w:rPr>
                <w:sz w:val="22"/>
                <w:szCs w:val="22"/>
              </w:rPr>
            </w:pPr>
            <w:r w:rsidDel="00000000" w:rsidR="00000000" w:rsidRPr="00000000">
              <w:rPr>
                <w:sz w:val="22"/>
                <w:szCs w:val="22"/>
                <w:rtl w:val="0"/>
              </w:rPr>
              <w:t xml:space="preserve">From September 2025, recruit a full-time attendance officer to focus on attendance across school.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D">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The DfE guidance has been informed by engagement with schools that have significantly reduced levels of absence and persistent absence.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E">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4, 5</w:t>
            </w:r>
          </w:p>
        </w:tc>
      </w:tr>
    </w:tbl>
    <w:p w:rsidR="00000000" w:rsidDel="00000000" w:rsidP="00000000" w:rsidRDefault="00000000" w:rsidRPr="00000000" w14:paraId="0000009F">
      <w:pPr>
        <w:pStyle w:val="Heading3"/>
        <w:spacing w:after="120" w:before="120" w:lineRule="auto"/>
        <w:rPr/>
      </w:pPr>
      <w:r w:rsidDel="00000000" w:rsidR="00000000" w:rsidRPr="00000000">
        <w:rPr>
          <w:rtl w:val="0"/>
        </w:rPr>
        <w:t xml:space="preserve">Targeted academic support (for example, tutoring, one-to-one support, structured interventions) </w:t>
      </w:r>
    </w:p>
    <w:p w:rsidR="00000000" w:rsidDel="00000000" w:rsidP="00000000" w:rsidRDefault="00000000" w:rsidRPr="00000000" w14:paraId="000000A0">
      <w:pPr>
        <w:spacing w:after="120" w:lineRule="auto"/>
        <w:rPr/>
      </w:pPr>
      <w:r w:rsidDel="00000000" w:rsidR="00000000" w:rsidRPr="00000000">
        <w:rPr>
          <w:rtl w:val="0"/>
        </w:rPr>
        <w:t xml:space="preserve">Budgeted cost: £289,163 </w:t>
      </w:r>
    </w:p>
    <w:tbl>
      <w:tblPr>
        <w:tblStyle w:val="Table8"/>
        <w:tblW w:w="948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56"/>
        <w:gridCol w:w="4677"/>
        <w:gridCol w:w="1553"/>
        <w:tblGridChange w:id="0">
          <w:tblGrid>
            <w:gridCol w:w="3256"/>
            <w:gridCol w:w="4677"/>
            <w:gridCol w:w="1553"/>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A1">
            <w:pPr>
              <w:pBdr>
                <w:top w:space="0" w:sz="0" w:val="nil"/>
                <w:left w:space="0" w:sz="0" w:val="nil"/>
                <w:bottom w:space="0" w:sz="0" w:val="nil"/>
                <w:right w:space="0" w:sz="0" w:val="nil"/>
                <w:between w:space="0" w:sz="0" w:val="nil"/>
              </w:pBdr>
              <w:spacing w:after="60" w:before="60" w:line="240" w:lineRule="auto"/>
              <w:ind w:left="57" w:right="57" w:firstLine="0"/>
              <w:rPr>
                <w:b w:val="1"/>
                <w:bCs w:val="1"/>
              </w:rPr>
            </w:pPr>
            <w:r w:rsidDel="00000000" w:rsidR="00000000" w:rsidRPr="00000000">
              <w:rPr>
                <w:b w:val="1"/>
                <w:bCs w:val="1"/>
                <w:rtl w:val="0"/>
              </w:rPr>
              <w:t xml:space="preserve">Activity</w:t>
            </w:r>
          </w:p>
        </w:tc>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A2">
            <w:pPr>
              <w:pBdr>
                <w:top w:space="0" w:sz="0" w:val="nil"/>
                <w:left w:space="0" w:sz="0" w:val="nil"/>
                <w:bottom w:space="0" w:sz="0" w:val="nil"/>
                <w:right w:space="0" w:sz="0" w:val="nil"/>
                <w:between w:space="0" w:sz="0" w:val="nil"/>
              </w:pBdr>
              <w:spacing w:after="60" w:before="60" w:line="240" w:lineRule="auto"/>
              <w:ind w:left="57" w:right="57" w:firstLine="0"/>
              <w:rPr>
                <w:b w:val="1"/>
                <w:bCs w:val="1"/>
              </w:rPr>
            </w:pPr>
            <w:r w:rsidDel="00000000" w:rsidR="00000000" w:rsidRPr="00000000">
              <w:rPr>
                <w:b w:val="1"/>
                <w:bCs w:val="1"/>
                <w:rtl w:val="0"/>
              </w:rPr>
              <w:t xml:space="preserve">Evidence that supports this approach</w:t>
            </w:r>
          </w:p>
        </w:tc>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A3">
            <w:pPr>
              <w:pBdr>
                <w:top w:space="0" w:sz="0" w:val="nil"/>
                <w:left w:space="0" w:sz="0" w:val="nil"/>
                <w:bottom w:space="0" w:sz="0" w:val="nil"/>
                <w:right w:space="0" w:sz="0" w:val="nil"/>
                <w:between w:space="0" w:sz="0" w:val="nil"/>
              </w:pBdr>
              <w:spacing w:after="60" w:before="60" w:line="240" w:lineRule="auto"/>
              <w:ind w:left="57" w:right="57" w:firstLine="0"/>
              <w:rPr>
                <w:b w:val="1"/>
                <w:bCs w:val="1"/>
              </w:rPr>
            </w:pPr>
            <w:r w:rsidDel="00000000" w:rsidR="00000000" w:rsidRPr="00000000">
              <w:rPr>
                <w:b w:val="1"/>
                <w:bCs w:val="1"/>
                <w:rtl w:val="0"/>
              </w:rPr>
              <w:t xml:space="preserve">Challenge number(s) addressed</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4">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sz w:val="22"/>
                <w:szCs w:val="22"/>
                <w:rtl w:val="0"/>
              </w:rPr>
              <w:t xml:space="preserve">Continue to allocate a full -time teaching assistant to every class.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5">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EEF Toolkit: Overall, evidence shows that small group tuition is effective and, as a rule of thumb, the smaller the group the better.</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6">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3</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7">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High level of investment in pastoral care to support our most vulnerable and disadvantaged children including three full time learning mentors and one safeguarding liaison officer.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8">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EEF Tool kit: On average, Social and Emotional Learning interventions have an identifiable and valuable impact on attitudes to learning and social relationships in school. They also have an average overall impact of four months’ additional progress on attainment.</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9">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4, 5</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A">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Continue specific, research backed quality interventions to target gaps in pupils understanding and knowledge.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B">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EEF Toolkit: Overall, evidence shows that small group tuition is effective and, as a rule of thumb, the smaller the group the better.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C">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1, 2, 3</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D">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Additional RWI phonics 1:1 mentoring targeted at educationally disadvantaged pupils who require further phonics support.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E">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Phonics approaches have a strong evidence base indicating a positive impact on pupils, particularly from disadvantaged backgrounds. Targeted phonics interventions have been shown to be more effective when delivered as regular sessions over a period of up to 12 weeks.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F">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1, 2, 3</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0">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Regular external training led by experienced RWI consultant 3 days a week.</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1">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As above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2">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1, 2, 3</w:t>
            </w:r>
          </w:p>
        </w:tc>
      </w:tr>
    </w:tbl>
    <w:p w:rsidR="00000000" w:rsidDel="00000000" w:rsidP="00000000" w:rsidRDefault="00000000" w:rsidRPr="00000000" w14:paraId="000000B3">
      <w:pPr>
        <w:pStyle w:val="Heading3"/>
        <w:spacing w:after="120" w:before="120" w:lineRule="auto"/>
        <w:rPr/>
      </w:pPr>
      <w:r w:rsidDel="00000000" w:rsidR="00000000" w:rsidRPr="00000000">
        <w:rPr>
          <w:rtl w:val="0"/>
        </w:rPr>
        <w:t xml:space="preserve">Wider strategies (for example, related to attendance, behaviour, wellbeing)</w:t>
      </w:r>
    </w:p>
    <w:p w:rsidR="00000000" w:rsidDel="00000000" w:rsidP="00000000" w:rsidRDefault="00000000" w:rsidRPr="00000000" w14:paraId="000000B4">
      <w:pPr>
        <w:spacing w:after="120" w:lineRule="auto"/>
        <w:rPr/>
      </w:pPr>
      <w:r w:rsidDel="00000000" w:rsidR="00000000" w:rsidRPr="00000000">
        <w:rPr>
          <w:rtl w:val="0"/>
        </w:rPr>
        <w:t xml:space="preserve">Budgeted cost: £76,363</w:t>
      </w:r>
    </w:p>
    <w:tbl>
      <w:tblPr>
        <w:tblStyle w:val="Table9"/>
        <w:tblW w:w="948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56"/>
        <w:gridCol w:w="4677"/>
        <w:gridCol w:w="1553"/>
        <w:tblGridChange w:id="0">
          <w:tblGrid>
            <w:gridCol w:w="3256"/>
            <w:gridCol w:w="4677"/>
            <w:gridCol w:w="1553"/>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B5">
            <w:pPr>
              <w:pBdr>
                <w:top w:space="0" w:sz="0" w:val="nil"/>
                <w:left w:space="0" w:sz="0" w:val="nil"/>
                <w:bottom w:space="0" w:sz="0" w:val="nil"/>
                <w:right w:space="0" w:sz="0" w:val="nil"/>
                <w:between w:space="0" w:sz="0" w:val="nil"/>
              </w:pBdr>
              <w:spacing w:after="60" w:before="60" w:line="240" w:lineRule="auto"/>
              <w:ind w:left="57" w:right="57" w:firstLine="0"/>
              <w:rPr>
                <w:b w:val="1"/>
                <w:bCs w:val="1"/>
              </w:rPr>
            </w:pPr>
            <w:r w:rsidDel="00000000" w:rsidR="00000000" w:rsidRPr="00000000">
              <w:rPr>
                <w:b w:val="1"/>
                <w:bCs w:val="1"/>
                <w:rtl w:val="0"/>
              </w:rPr>
              <w:t xml:space="preserve">Activity</w:t>
            </w:r>
          </w:p>
        </w:tc>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B6">
            <w:pPr>
              <w:pBdr>
                <w:top w:space="0" w:sz="0" w:val="nil"/>
                <w:left w:space="0" w:sz="0" w:val="nil"/>
                <w:bottom w:space="0" w:sz="0" w:val="nil"/>
                <w:right w:space="0" w:sz="0" w:val="nil"/>
                <w:between w:space="0" w:sz="0" w:val="nil"/>
              </w:pBdr>
              <w:spacing w:after="60" w:before="60" w:line="240" w:lineRule="auto"/>
              <w:ind w:left="57" w:right="57" w:firstLine="0"/>
              <w:rPr>
                <w:b w:val="1"/>
                <w:bCs w:val="1"/>
              </w:rPr>
            </w:pPr>
            <w:r w:rsidDel="00000000" w:rsidR="00000000" w:rsidRPr="00000000">
              <w:rPr>
                <w:b w:val="1"/>
                <w:bCs w:val="1"/>
                <w:rtl w:val="0"/>
              </w:rPr>
              <w:t xml:space="preserve">Evidence that supports this approach</w:t>
            </w:r>
          </w:p>
        </w:tc>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B7">
            <w:pPr>
              <w:pBdr>
                <w:top w:space="0" w:sz="0" w:val="nil"/>
                <w:left w:space="0" w:sz="0" w:val="nil"/>
                <w:bottom w:space="0" w:sz="0" w:val="nil"/>
                <w:right w:space="0" w:sz="0" w:val="nil"/>
                <w:between w:space="0" w:sz="0" w:val="nil"/>
              </w:pBdr>
              <w:spacing w:after="60" w:before="60" w:line="240" w:lineRule="auto"/>
              <w:ind w:left="57" w:right="57" w:firstLine="0"/>
              <w:rPr>
                <w:b w:val="1"/>
                <w:bCs w:val="1"/>
              </w:rPr>
            </w:pPr>
            <w:r w:rsidDel="00000000" w:rsidR="00000000" w:rsidRPr="00000000">
              <w:rPr>
                <w:b w:val="1"/>
                <w:bCs w:val="1"/>
                <w:rtl w:val="0"/>
              </w:rPr>
              <w:t xml:space="preserve">Challenge number(s) addressed</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8">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sz w:val="22"/>
                <w:szCs w:val="22"/>
                <w:rtl w:val="0"/>
              </w:rPr>
              <w:t xml:space="preserve">Subsidised visits and visitors into school.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9">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The Education and Skills Select Committee 2005 report into Education Outside the Classroom, found that learning outside the classroom ‘can benefit pupils of all ages and can be successful in a variety of settings… (it) enriches the curriculum and can improve educational attainment.’ https://www.field-studiescouncil.org/documents/general/rwl/OoCL.pdf</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A">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2, 4, 5</w:t>
            </w:r>
          </w:p>
        </w:tc>
      </w:tr>
      <w:tr>
        <w:trPr>
          <w:cantSplit w:val="0"/>
          <w:trHeight w:val="212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B">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The provision of extracurricular after school clubs, including those delivered by school staff (e.g. learning mentors, PE specialist) and external providers (e.g. SUFC) </w:t>
            </w:r>
          </w:p>
          <w:p w:rsidR="00000000" w:rsidDel="00000000" w:rsidP="00000000" w:rsidRDefault="00000000" w:rsidRPr="00000000" w14:paraId="000000BC">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Engage with HAF to develop holiday provision in school.</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D">
            <w:pPr>
              <w:spacing w:after="60" w:before="60" w:line="240" w:lineRule="auto"/>
              <w:ind w:left="57" w:right="57" w:firstLine="0"/>
              <w:rPr>
                <w:sz w:val="22"/>
                <w:szCs w:val="22"/>
              </w:rPr>
            </w:pPr>
            <w:r w:rsidDel="00000000" w:rsidR="00000000" w:rsidRPr="00000000">
              <w:rPr>
                <w:sz w:val="22"/>
                <w:szCs w:val="22"/>
                <w:rtl w:val="0"/>
              </w:rPr>
              <w:t xml:space="preserve">EEF tool kit: The evidence indicates that, on average, pupils make two additional months’ progress per year from extended school time and in particular through the targeted use of before and after school programmes. There is some evidence that disadvantaged pupils benefit more, making closer to three months’ additional progress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E">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4</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F">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Continue to engage with Fare share and work with the poverty strategy team locally.</w:t>
            </w:r>
          </w:p>
          <w:p w:rsidR="00000000" w:rsidDel="00000000" w:rsidP="00000000" w:rsidRDefault="00000000" w:rsidRPr="00000000" w14:paraId="000000C0">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Engage with the National School Breakfast Programme to provide free breakfast for all children, including those coming to school hungry.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C1">
            <w:pPr>
              <w:spacing w:after="60" w:before="60" w:line="240" w:lineRule="auto"/>
              <w:ind w:left="57" w:right="57" w:firstLine="0"/>
              <w:rPr>
                <w:sz w:val="22"/>
                <w:szCs w:val="22"/>
              </w:rPr>
            </w:pPr>
            <w:r w:rsidDel="00000000" w:rsidR="00000000" w:rsidRPr="00000000">
              <w:rPr>
                <w:sz w:val="22"/>
                <w:szCs w:val="22"/>
                <w:rtl w:val="0"/>
              </w:rPr>
              <w:t xml:space="preserve">The Borgen Project a non-profit organisation focused on addressing poverty and hunger, details evidence that hunger is one of the most prominent obstacles that can hinder a child’s learning process. (Emily Walthouse July 2014)</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C2">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4, 5</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C3">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Continue to embed Trauma Informed Practice, implementing a relationships policy across school and ensuring we are building and maintaining trusting relationships with our children and families.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C4">
            <w:pPr>
              <w:spacing w:after="60" w:before="60" w:line="240" w:lineRule="auto"/>
              <w:ind w:left="57" w:right="57" w:firstLine="0"/>
              <w:rPr>
                <w:sz w:val="22"/>
                <w:szCs w:val="22"/>
              </w:rPr>
            </w:pPr>
            <w:r w:rsidDel="00000000" w:rsidR="00000000" w:rsidRPr="00000000">
              <w:rPr>
                <w:sz w:val="22"/>
                <w:szCs w:val="22"/>
                <w:rtl w:val="0"/>
              </w:rPr>
              <w:t xml:space="preserve">Both targeted interventions and universal approaches can have positive overall.</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C5">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4, 5</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C6">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sz w:val="22"/>
                <w:szCs w:val="22"/>
                <w:rtl w:val="0"/>
              </w:rPr>
              <w:t xml:space="preserve">Provide ‘hub’ provision for those with high needs in KS1 and EYFS who need an autism specialist curriculum.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C7">
            <w:pPr>
              <w:spacing w:after="60" w:before="60" w:line="240" w:lineRule="auto"/>
              <w:ind w:left="0" w:right="57" w:firstLine="0"/>
              <w:rPr>
                <w:sz w:val="22"/>
                <w:szCs w:val="22"/>
              </w:rPr>
            </w:pPr>
            <w:r w:rsidDel="00000000" w:rsidR="00000000" w:rsidRPr="00000000">
              <w:rPr>
                <w:sz w:val="22"/>
                <w:szCs w:val="22"/>
                <w:rtl w:val="0"/>
              </w:rPr>
              <w:t xml:space="preserve">SEND Code of Practice identifies the need to adapt children’s provision according to their individual needs.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C8">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rtl w:val="0"/>
              </w:rPr>
            </w:r>
          </w:p>
        </w:tc>
      </w:tr>
    </w:tbl>
    <w:p w:rsidR="00000000" w:rsidDel="00000000" w:rsidP="00000000" w:rsidRDefault="00000000" w:rsidRPr="00000000" w14:paraId="000000C9">
      <w:pPr>
        <w:spacing w:after="120" w:before="120" w:lineRule="auto"/>
        <w:rPr/>
      </w:pPr>
      <w:r w:rsidDel="00000000" w:rsidR="00000000" w:rsidRPr="00000000">
        <w:rPr>
          <w:b w:val="1"/>
          <w:bCs w:val="1"/>
          <w:color w:val="104f75"/>
          <w:sz w:val="28"/>
          <w:szCs w:val="28"/>
          <w:rtl w:val="0"/>
        </w:rPr>
        <w:t xml:space="preserve">Total budgeted cost: £ </w:t>
      </w:r>
      <w:r w:rsidDel="00000000" w:rsidR="00000000" w:rsidRPr="00000000">
        <w:rPr>
          <w:i w:val="1"/>
          <w:iCs w:val="1"/>
          <w:color w:val="104f75"/>
          <w:sz w:val="28"/>
          <w:szCs w:val="28"/>
          <w:rtl w:val="0"/>
        </w:rPr>
        <w:t xml:space="preserve">359,475</w:t>
      </w:r>
      <w:r w:rsidDel="00000000" w:rsidR="00000000" w:rsidRPr="00000000">
        <w:rPr>
          <w:rtl w:val="0"/>
        </w:rPr>
      </w:r>
    </w:p>
    <w:p w:rsidR="00000000" w:rsidDel="00000000" w:rsidP="00000000" w:rsidRDefault="00000000" w:rsidRPr="00000000" w14:paraId="000000CA">
      <w:pPr>
        <w:pStyle w:val="Heading1"/>
        <w:spacing w:after="120" w:lineRule="auto"/>
        <w:rPr/>
      </w:pPr>
      <w:r w:rsidDel="00000000" w:rsidR="00000000" w:rsidRPr="00000000">
        <w:rPr>
          <w:rtl w:val="0"/>
        </w:rPr>
        <w:t xml:space="preserve">Part B: Review of the previous academic year</w:t>
      </w:r>
    </w:p>
    <w:p w:rsidR="00000000" w:rsidDel="00000000" w:rsidP="00000000" w:rsidRDefault="00000000" w:rsidRPr="00000000" w14:paraId="000000CB">
      <w:pPr>
        <w:pStyle w:val="Heading2"/>
        <w:spacing w:after="120" w:before="0" w:lineRule="auto"/>
        <w:rPr/>
      </w:pPr>
      <w:r w:rsidDel="00000000" w:rsidR="00000000" w:rsidRPr="00000000">
        <w:rPr>
          <w:rtl w:val="0"/>
        </w:rPr>
        <w:t xml:space="preserve">Outcomes for disadvantaged pupils</w:t>
      </w:r>
    </w:p>
    <w:tbl>
      <w:tblPr>
        <w:tblStyle w:val="Table10"/>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493"/>
        <w:tblGridChange w:id="0">
          <w:tblGrid>
            <w:gridCol w:w="9493"/>
          </w:tblGrid>
        </w:tblGridChange>
      </w:tblGrid>
      <w:tr>
        <w:trPr>
          <w:cantSplit w:val="0"/>
          <w:trHeight w:val="1102"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CC">
            <w:pPr>
              <w:spacing w:before="60" w:line="240" w:lineRule="auto"/>
              <w:rPr>
                <w:i w:val="1"/>
                <w:iCs w:val="1"/>
              </w:rPr>
            </w:pPr>
            <w:r w:rsidDel="00000000" w:rsidR="00000000" w:rsidRPr="00000000">
              <w:rPr>
                <w:i w:val="1"/>
                <w:iCs w:val="1"/>
                <w:rtl w:val="0"/>
              </w:rPr>
              <w:t xml:space="preserve">Attendance data 2025/2026 so far…</w:t>
            </w:r>
          </w:p>
          <w:p w:rsidR="00000000" w:rsidDel="00000000" w:rsidP="00000000" w:rsidRDefault="00000000" w:rsidRPr="00000000" w14:paraId="000000CD">
            <w:pPr>
              <w:numPr>
                <w:ilvl w:val="0"/>
                <w:numId w:val="4"/>
              </w:numPr>
              <w:spacing w:after="0" w:afterAutospacing="0" w:before="60" w:line="240" w:lineRule="auto"/>
              <w:ind w:left="720" w:hanging="360"/>
              <w:rPr>
                <w:rFonts w:ascii="Calibri" w:cs="Calibri" w:eastAsia="Calibri" w:hAnsi="Calibri"/>
                <w:color w:val="000000"/>
                <w:sz w:val="22"/>
                <w:szCs w:val="22"/>
                <w:u w:val="none"/>
              </w:rPr>
            </w:pPr>
            <w:r w:rsidDel="00000000" w:rsidR="00000000" w:rsidRPr="00000000">
              <w:rPr>
                <w:rFonts w:ascii="Calibri" w:cs="Calibri" w:eastAsia="Calibri" w:hAnsi="Calibri"/>
                <w:color w:val="000000"/>
                <w:sz w:val="22"/>
                <w:szCs w:val="22"/>
                <w:rtl w:val="0"/>
              </w:rPr>
              <w:t xml:space="preserve">H1 improved by 0.25%</w:t>
            </w:r>
          </w:p>
          <w:p w:rsidR="00000000" w:rsidDel="00000000" w:rsidP="00000000" w:rsidRDefault="00000000" w:rsidRPr="00000000" w14:paraId="000000CE">
            <w:pPr>
              <w:numPr>
                <w:ilvl w:val="0"/>
                <w:numId w:val="4"/>
              </w:numPr>
              <w:spacing w:after="0" w:line="278.00000000000006" w:lineRule="auto"/>
              <w:ind w:left="720" w:hanging="360"/>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H2 improved by 0.63%</w:t>
            </w:r>
          </w:p>
          <w:p w:rsidR="00000000" w:rsidDel="00000000" w:rsidP="00000000" w:rsidRDefault="00000000" w:rsidRPr="00000000" w14:paraId="000000CF">
            <w:pPr>
              <w:numPr>
                <w:ilvl w:val="0"/>
                <w:numId w:val="4"/>
              </w:numPr>
              <w:spacing w:after="0" w:line="278.00000000000006" w:lineRule="auto"/>
              <w:ind w:left="720" w:hanging="360"/>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H3 improved by 1.74%</w:t>
            </w:r>
          </w:p>
          <w:p w:rsidR="00000000" w:rsidDel="00000000" w:rsidP="00000000" w:rsidRDefault="00000000" w:rsidRPr="00000000" w14:paraId="000000D0">
            <w:pPr>
              <w:numPr>
                <w:ilvl w:val="0"/>
                <w:numId w:val="4"/>
              </w:numPr>
              <w:spacing w:after="0" w:line="278.00000000000006" w:lineRule="auto"/>
              <w:ind w:left="720" w:hanging="360"/>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By the end of H3, PA is 3.05% lower than the same time last year.</w:t>
            </w:r>
          </w:p>
          <w:p w:rsidR="00000000" w:rsidDel="00000000" w:rsidP="00000000" w:rsidRDefault="00000000" w:rsidRPr="00000000" w14:paraId="000000D1">
            <w:pPr>
              <w:spacing w:after="0" w:line="278.00000000000006" w:lineRule="auto"/>
              <w:ind w:left="720" w:firstLine="0"/>
              <w:rPr>
                <w:rFonts w:ascii="Calibri" w:cs="Calibri" w:eastAsia="Calibri" w:hAnsi="Calibri"/>
                <w:color w:val="000000"/>
                <w:sz w:val="16"/>
                <w:szCs w:val="16"/>
              </w:rPr>
            </w:pPr>
            <w:r w:rsidDel="00000000" w:rsidR="00000000" w:rsidRPr="00000000">
              <w:rPr>
                <w:rtl w:val="0"/>
              </w:rPr>
            </w:r>
          </w:p>
          <w:p w:rsidR="00000000" w:rsidDel="00000000" w:rsidP="00000000" w:rsidRDefault="00000000" w:rsidRPr="00000000" w14:paraId="000000D2">
            <w:pPr>
              <w:spacing w:after="160" w:line="278.00000000000006" w:lineRule="auto"/>
              <w:rPr>
                <w:rFonts w:ascii="Aptos" w:cs="Aptos" w:eastAsia="Aptos" w:hAnsi="Aptos"/>
                <w:color w:val="000000"/>
                <w:u w:val="single"/>
              </w:rPr>
            </w:pPr>
            <w:r w:rsidDel="00000000" w:rsidR="00000000" w:rsidRPr="00000000">
              <w:rPr>
                <w:rFonts w:ascii="Aptos" w:cs="Aptos" w:eastAsia="Aptos" w:hAnsi="Aptos"/>
                <w:color w:val="000000"/>
                <w:u w:val="single"/>
                <w:rtl w:val="0"/>
              </w:rPr>
              <w:t xml:space="preserve">Persistent Absence Figures (90% and below 2025/2026 so far)</w:t>
            </w:r>
          </w:p>
          <w:tbl>
            <w:tblPr>
              <w:tblStyle w:val="Table11"/>
              <w:tblW w:w="52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12"/>
              <w:gridCol w:w="1288"/>
              <w:gridCol w:w="1288"/>
              <w:gridCol w:w="1288"/>
              <w:tblGridChange w:id="0">
                <w:tblGrid>
                  <w:gridCol w:w="1412"/>
                  <w:gridCol w:w="1288"/>
                  <w:gridCol w:w="1288"/>
                  <w:gridCol w:w="128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ae9f7" w:val="clear"/>
                </w:tcPr>
                <w:p w:rsidR="00000000" w:rsidDel="00000000" w:rsidP="00000000" w:rsidRDefault="00000000" w:rsidRPr="00000000" w14:paraId="000000D3">
                  <w:pPr>
                    <w:rPr>
                      <w:rFonts w:ascii="Aptos" w:cs="Aptos" w:eastAsia="Aptos" w:hAnsi="Aptos"/>
                      <w:color w:val="000000"/>
                    </w:rPr>
                  </w:pPr>
                  <w:r w:rsidDel="00000000" w:rsidR="00000000" w:rsidRPr="00000000">
                    <w:rPr>
                      <w:rFonts w:ascii="Aptos" w:cs="Aptos" w:eastAsia="Aptos" w:hAnsi="Aptos"/>
                      <w:color w:val="000000"/>
                      <w:rtl w:val="0"/>
                    </w:rPr>
                    <w:t xml:space="preserve">Cumulative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4">
                  <w:pPr>
                    <w:rPr>
                      <w:rFonts w:ascii="Aptos" w:cs="Aptos" w:eastAsia="Aptos" w:hAnsi="Aptos"/>
                      <w:color w:val="000000"/>
                    </w:rPr>
                  </w:pPr>
                  <w:r w:rsidDel="00000000" w:rsidR="00000000" w:rsidRPr="00000000">
                    <w:rPr>
                      <w:rFonts w:ascii="Aptos" w:cs="Aptos" w:eastAsia="Aptos" w:hAnsi="Aptos"/>
                      <w:color w:val="000000"/>
                      <w:rtl w:val="0"/>
                    </w:rPr>
                    <w:t xml:space="preserve">HT1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5">
                  <w:pPr>
                    <w:rPr>
                      <w:rFonts w:ascii="Aptos" w:cs="Aptos" w:eastAsia="Aptos" w:hAnsi="Aptos"/>
                      <w:color w:val="000000"/>
                    </w:rPr>
                  </w:pPr>
                  <w:r w:rsidDel="00000000" w:rsidR="00000000" w:rsidRPr="00000000">
                    <w:rPr>
                      <w:rFonts w:ascii="Aptos" w:cs="Aptos" w:eastAsia="Aptos" w:hAnsi="Aptos"/>
                      <w:color w:val="000000"/>
                      <w:rtl w:val="0"/>
                    </w:rPr>
                    <w:t xml:space="preserve">HT1-2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6">
                  <w:pPr>
                    <w:rPr>
                      <w:rFonts w:ascii="Aptos" w:cs="Aptos" w:eastAsia="Aptos" w:hAnsi="Aptos"/>
                      <w:color w:val="000000"/>
                    </w:rPr>
                  </w:pPr>
                  <w:r w:rsidDel="00000000" w:rsidR="00000000" w:rsidRPr="00000000">
                    <w:rPr>
                      <w:rFonts w:ascii="Aptos" w:cs="Aptos" w:eastAsia="Aptos" w:hAnsi="Aptos"/>
                      <w:color w:val="000000"/>
                      <w:rtl w:val="0"/>
                    </w:rPr>
                    <w:t xml:space="preserve">HT1-3</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7">
                  <w:pPr>
                    <w:rPr>
                      <w:rFonts w:ascii="Aptos" w:cs="Aptos" w:eastAsia="Aptos" w:hAnsi="Aptos"/>
                      <w:color w:val="000000"/>
                    </w:rPr>
                  </w:pPr>
                  <w:r w:rsidDel="00000000" w:rsidR="00000000" w:rsidRPr="00000000">
                    <w:rPr>
                      <w:rFonts w:ascii="Aptos" w:cs="Aptos" w:eastAsia="Aptos" w:hAnsi="Aptos"/>
                      <w:color w:val="000000"/>
                      <w:rtl w:val="0"/>
                    </w:rPr>
                    <w:t xml:space="preserve">25/26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8">
                  <w:pPr>
                    <w:rPr>
                      <w:rFonts w:ascii="Aptos" w:cs="Aptos" w:eastAsia="Aptos" w:hAnsi="Aptos"/>
                      <w:color w:val="000000"/>
                    </w:rPr>
                  </w:pPr>
                  <w:r w:rsidDel="00000000" w:rsidR="00000000" w:rsidRPr="00000000">
                    <w:rPr>
                      <w:rFonts w:ascii="Aptos" w:cs="Aptos" w:eastAsia="Aptos" w:hAnsi="Aptos"/>
                      <w:color w:val="000000"/>
                      <w:rtl w:val="0"/>
                    </w:rPr>
                    <w:t xml:space="preserve">18.73% (68)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9">
                  <w:pPr>
                    <w:rPr>
                      <w:rFonts w:ascii="Aptos" w:cs="Aptos" w:eastAsia="Aptos" w:hAnsi="Aptos"/>
                      <w:color w:val="000000"/>
                    </w:rPr>
                  </w:pPr>
                  <w:r w:rsidDel="00000000" w:rsidR="00000000" w:rsidRPr="00000000">
                    <w:rPr>
                      <w:rFonts w:ascii="Aptos" w:cs="Aptos" w:eastAsia="Aptos" w:hAnsi="Aptos"/>
                      <w:color w:val="000000"/>
                      <w:rtl w:val="0"/>
                    </w:rPr>
                    <w:t xml:space="preserve">26.54% (99)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A">
                  <w:pPr>
                    <w:rPr>
                      <w:rFonts w:ascii="Aptos" w:cs="Aptos" w:eastAsia="Aptos" w:hAnsi="Aptos"/>
                      <w:color w:val="000000"/>
                    </w:rPr>
                  </w:pPr>
                  <w:r w:rsidDel="00000000" w:rsidR="00000000" w:rsidRPr="00000000">
                    <w:rPr>
                      <w:rFonts w:ascii="Aptos" w:cs="Aptos" w:eastAsia="Aptos" w:hAnsi="Aptos"/>
                      <w:color w:val="000000"/>
                      <w:rtl w:val="0"/>
                    </w:rPr>
                    <w:t xml:space="preserve">26.45% (105)</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B">
                  <w:pPr>
                    <w:rPr>
                      <w:rFonts w:ascii="Aptos" w:cs="Aptos" w:eastAsia="Aptos" w:hAnsi="Aptos"/>
                      <w:color w:val="000000"/>
                    </w:rPr>
                  </w:pPr>
                  <w:r w:rsidDel="00000000" w:rsidR="00000000" w:rsidRPr="00000000">
                    <w:rPr>
                      <w:rFonts w:ascii="Aptos" w:cs="Aptos" w:eastAsia="Aptos" w:hAnsi="Aptos"/>
                      <w:color w:val="000000"/>
                      <w:rtl w:val="0"/>
                    </w:rPr>
                    <w:t xml:space="preserve">24/25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C">
                  <w:pPr>
                    <w:rPr>
                      <w:rFonts w:ascii="Aptos" w:cs="Aptos" w:eastAsia="Aptos" w:hAnsi="Aptos"/>
                      <w:color w:val="000000"/>
                    </w:rPr>
                  </w:pPr>
                  <w:r w:rsidDel="00000000" w:rsidR="00000000" w:rsidRPr="00000000">
                    <w:rPr>
                      <w:rFonts w:ascii="Aptos" w:cs="Aptos" w:eastAsia="Aptos" w:hAnsi="Aptos"/>
                      <w:color w:val="000000"/>
                      <w:rtl w:val="0"/>
                    </w:rPr>
                    <w:t xml:space="preserve">22.47% (82)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D">
                  <w:pPr>
                    <w:rPr>
                      <w:rFonts w:ascii="Aptos" w:cs="Aptos" w:eastAsia="Aptos" w:hAnsi="Aptos"/>
                      <w:color w:val="000000"/>
                    </w:rPr>
                  </w:pPr>
                  <w:r w:rsidDel="00000000" w:rsidR="00000000" w:rsidRPr="00000000">
                    <w:rPr>
                      <w:rFonts w:ascii="Aptos" w:cs="Aptos" w:eastAsia="Aptos" w:hAnsi="Aptos"/>
                      <w:color w:val="000000"/>
                      <w:rtl w:val="0"/>
                    </w:rPr>
                    <w:t xml:space="preserve">28.73%</w:t>
                  </w:r>
                </w:p>
                <w:p w:rsidR="00000000" w:rsidDel="00000000" w:rsidP="00000000" w:rsidRDefault="00000000" w:rsidRPr="00000000" w14:paraId="000000DE">
                  <w:pPr>
                    <w:rPr>
                      <w:rFonts w:ascii="Aptos" w:cs="Aptos" w:eastAsia="Aptos" w:hAnsi="Aptos"/>
                      <w:color w:val="000000"/>
                    </w:rPr>
                  </w:pPr>
                  <w:r w:rsidDel="00000000" w:rsidR="00000000" w:rsidRPr="00000000">
                    <w:rPr>
                      <w:rFonts w:ascii="Aptos" w:cs="Aptos" w:eastAsia="Aptos" w:hAnsi="Aptos"/>
                      <w:color w:val="000000"/>
                      <w:rtl w:val="0"/>
                    </w:rPr>
                    <w:t xml:space="preserve">(106)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F">
                  <w:pPr>
                    <w:rPr>
                      <w:rFonts w:ascii="Aptos" w:cs="Aptos" w:eastAsia="Aptos" w:hAnsi="Aptos"/>
                      <w:color w:val="000000"/>
                    </w:rPr>
                  </w:pPr>
                  <w:r w:rsidDel="00000000" w:rsidR="00000000" w:rsidRPr="00000000">
                    <w:rPr>
                      <w:rFonts w:ascii="Aptos" w:cs="Aptos" w:eastAsia="Aptos" w:hAnsi="Aptos"/>
                      <w:color w:val="000000"/>
                      <w:rtl w:val="0"/>
                    </w:rPr>
                    <w:t xml:space="preserve">31.81%</w:t>
                  </w:r>
                </w:p>
                <w:p w:rsidR="00000000" w:rsidDel="00000000" w:rsidP="00000000" w:rsidRDefault="00000000" w:rsidRPr="00000000" w14:paraId="000000E0">
                  <w:pPr>
                    <w:rPr>
                      <w:rFonts w:ascii="Aptos" w:cs="Aptos" w:eastAsia="Aptos" w:hAnsi="Aptos"/>
                      <w:color w:val="000000"/>
                    </w:rPr>
                  </w:pPr>
                  <w:r w:rsidDel="00000000" w:rsidR="00000000" w:rsidRPr="00000000">
                    <w:rPr>
                      <w:rFonts w:ascii="Aptos" w:cs="Aptos" w:eastAsia="Aptos" w:hAnsi="Aptos"/>
                      <w:color w:val="000000"/>
                      <w:rtl w:val="0"/>
                    </w:rPr>
                    <w:t xml:space="preserve">(125)</w:t>
                  </w:r>
                </w:p>
              </w:tc>
            </w:tr>
          </w:tbl>
          <w:p w:rsidR="00000000" w:rsidDel="00000000" w:rsidP="00000000" w:rsidRDefault="00000000" w:rsidRPr="00000000" w14:paraId="000000E1">
            <w:pPr>
              <w:spacing w:after="160" w:line="278.00000000000006" w:lineRule="auto"/>
              <w:rPr>
                <w:sz w:val="16"/>
                <w:szCs w:val="16"/>
              </w:rPr>
            </w:pPr>
            <w:r w:rsidDel="00000000" w:rsidR="00000000" w:rsidRPr="00000000">
              <w:rPr>
                <w:rtl w:val="0"/>
              </w:rPr>
            </w:r>
          </w:p>
          <w:p w:rsidR="00000000" w:rsidDel="00000000" w:rsidP="00000000" w:rsidRDefault="00000000" w:rsidRPr="00000000" w14:paraId="000000E2">
            <w:pPr>
              <w:spacing w:after="160" w:line="278.00000000000006" w:lineRule="auto"/>
              <w:rPr/>
            </w:pPr>
            <w:r w:rsidDel="00000000" w:rsidR="00000000" w:rsidRPr="00000000">
              <w:rPr>
                <w:rtl w:val="0"/>
              </w:rPr>
              <w:t xml:space="preserve">Attendance figures:</w:t>
            </w:r>
          </w:p>
          <w:sdt>
            <w:sdtPr>
              <w:lock w:val="contentLocked"/>
              <w:id w:val="-840712343"/>
              <w:tag w:val="goog_rdk_0"/>
            </w:sdtPr>
            <w:sdtContent>
              <w:tbl>
                <w:tblPr>
                  <w:tblStyle w:val="Table12"/>
                  <w:tblW w:w="898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75"/>
                  <w:gridCol w:w="1455"/>
                  <w:gridCol w:w="1485"/>
                  <w:gridCol w:w="1485"/>
                  <w:gridCol w:w="1485"/>
                  <w:tblGridChange w:id="0">
                    <w:tblGrid>
                      <w:gridCol w:w="3075"/>
                      <w:gridCol w:w="1455"/>
                      <w:gridCol w:w="1485"/>
                      <w:gridCol w:w="1485"/>
                      <w:gridCol w:w="148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Autumn 24</w:t>
                      </w:r>
                    </w:p>
                  </w:tc>
                  <w:tc>
                    <w:tcPr>
                      <w:shd w:fill="auto" w:val="clear"/>
                      <w:tcMar>
                        <w:top w:w="100.0" w:type="dxa"/>
                        <w:left w:w="100.0" w:type="dxa"/>
                        <w:bottom w:w="100.0" w:type="dxa"/>
                        <w:right w:w="100.0" w:type="dxa"/>
                      </w:tcMar>
                      <w:vAlign w:val="top"/>
                    </w:tcPr>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Autumn 25</w:t>
                      </w:r>
                    </w:p>
                  </w:tc>
                  <w:tc>
                    <w:tcPr>
                      <w:shd w:fill="auto" w:val="clear"/>
                      <w:tcMar>
                        <w:top w:w="100.0" w:type="dxa"/>
                        <w:left w:w="100.0" w:type="dxa"/>
                        <w:bottom w:w="100.0" w:type="dxa"/>
                        <w:right w:w="100.0" w:type="dxa"/>
                      </w:tcMar>
                      <w:vAlign w:val="top"/>
                    </w:tcPr>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Spring 25</w:t>
                      </w:r>
                    </w:p>
                  </w:tc>
                  <w:tc>
                    <w:tcPr>
                      <w:shd w:fill="auto" w:val="clear"/>
                      <w:tcMar>
                        <w:top w:w="100.0" w:type="dxa"/>
                        <w:left w:w="100.0" w:type="dxa"/>
                        <w:bottom w:w="100.0" w:type="dxa"/>
                        <w:right w:w="100.0" w:type="dxa"/>
                      </w:tcMar>
                      <w:vAlign w:val="top"/>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Spring 26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Pupil Premium</w:t>
                      </w:r>
                    </w:p>
                  </w:tc>
                  <w:tc>
                    <w:tcPr>
                      <w:shd w:fill="auto" w:val="clear"/>
                      <w:tcMar>
                        <w:top w:w="100.0" w:type="dxa"/>
                        <w:left w:w="100.0" w:type="dxa"/>
                        <w:bottom w:w="100.0" w:type="dxa"/>
                        <w:right w:w="100.0" w:type="dxa"/>
                      </w:tcMar>
                      <w:vAlign w:val="top"/>
                    </w:tcPr>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88.33%</w:t>
                      </w:r>
                    </w:p>
                  </w:tc>
                  <w:tc>
                    <w:tcPr>
                      <w:shd w:fill="auto" w:val="clear"/>
                      <w:tcMar>
                        <w:top w:w="100.0" w:type="dxa"/>
                        <w:left w:w="100.0" w:type="dxa"/>
                        <w:bottom w:w="100.0" w:type="dxa"/>
                        <w:right w:w="100.0" w:type="dxa"/>
                      </w:tcMar>
                      <w:vAlign w:val="top"/>
                    </w:tcPr>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89.83%</w:t>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89.3%</w:t>
                      </w:r>
                    </w:p>
                  </w:tc>
                  <w:tc>
                    <w:tcPr>
                      <w:shd w:fill="auto" w:val="clear"/>
                      <w:tcMar>
                        <w:top w:w="100.0" w:type="dxa"/>
                        <w:left w:w="100.0" w:type="dxa"/>
                        <w:bottom w:w="100.0" w:type="dxa"/>
                        <w:right w:w="100.0" w:type="dxa"/>
                      </w:tcMar>
                      <w:vAlign w:val="top"/>
                    </w:tcPr>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90.08%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None Pupil Premium</w:t>
                      </w:r>
                    </w:p>
                  </w:tc>
                  <w:tc>
                    <w:tcPr>
                      <w:shd w:fill="auto" w:val="clear"/>
                      <w:tcMar>
                        <w:top w:w="100.0" w:type="dxa"/>
                        <w:left w:w="100.0" w:type="dxa"/>
                        <w:bottom w:w="100.0" w:type="dxa"/>
                        <w:right w:w="100.0" w:type="dxa"/>
                      </w:tcMar>
                      <w:vAlign w:val="top"/>
                    </w:tcPr>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94.48%</w:t>
                      </w:r>
                    </w:p>
                  </w:tc>
                  <w:tc>
                    <w:tcPr>
                      <w:shd w:fill="auto" w:val="clear"/>
                      <w:tcMar>
                        <w:top w:w="100.0" w:type="dxa"/>
                        <w:left w:w="100.0" w:type="dxa"/>
                        <w:bottom w:w="100.0" w:type="dxa"/>
                        <w:right w:w="100.0" w:type="dxa"/>
                      </w:tcMar>
                      <w:vAlign w:val="top"/>
                    </w:tcPr>
                    <w:p w:rsidR="00000000" w:rsidDel="00000000" w:rsidP="00000000" w:rsidRDefault="00000000" w:rsidRPr="00000000" w14:paraId="000000EF">
                      <w:pPr>
                        <w:widowControl w:val="0"/>
                        <w:spacing w:after="0" w:line="240" w:lineRule="auto"/>
                        <w:rPr/>
                      </w:pPr>
                      <w:r w:rsidDel="00000000" w:rsidR="00000000" w:rsidRPr="00000000">
                        <w:rPr>
                          <w:rtl w:val="0"/>
                        </w:rPr>
                        <w:t xml:space="preserve">94.86%</w:t>
                      </w:r>
                    </w:p>
                  </w:tc>
                  <w:tc>
                    <w:tcPr>
                      <w:shd w:fill="auto" w:val="clear"/>
                      <w:tcMar>
                        <w:top w:w="100.0" w:type="dxa"/>
                        <w:left w:w="100.0" w:type="dxa"/>
                        <w:bottom w:w="100.0" w:type="dxa"/>
                        <w:right w:w="100.0" w:type="dxa"/>
                      </w:tcMar>
                      <w:vAlign w:val="top"/>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95.3%</w:t>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95.3%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Gap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6.15%</w:t>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widowControl w:val="0"/>
                        <w:spacing w:after="0" w:line="240" w:lineRule="auto"/>
                        <w:rPr/>
                      </w:pPr>
                      <w:r w:rsidDel="00000000" w:rsidR="00000000" w:rsidRPr="00000000">
                        <w:rPr>
                          <w:rtl w:val="0"/>
                        </w:rPr>
                        <w:t xml:space="preserve">5.03%</w:t>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5.22%</w:t>
                      </w:r>
                    </w:p>
                  </w:tc>
                </w:tr>
              </w:tbl>
            </w:sdtContent>
          </w:sdt>
          <w:p w:rsidR="00000000" w:rsidDel="00000000" w:rsidP="00000000" w:rsidRDefault="00000000" w:rsidRPr="00000000" w14:paraId="000000F7">
            <w:pPr>
              <w:spacing w:after="160" w:line="278.00000000000006" w:lineRule="auto"/>
              <w:rPr>
                <w:sz w:val="16"/>
                <w:szCs w:val="16"/>
              </w:rPr>
            </w:pPr>
            <w:r w:rsidDel="00000000" w:rsidR="00000000" w:rsidRPr="00000000">
              <w:rPr>
                <w:rtl w:val="0"/>
              </w:rPr>
            </w:r>
          </w:p>
        </w:tc>
      </w:tr>
    </w:tbl>
    <w:p w:rsidR="00000000" w:rsidDel="00000000" w:rsidP="00000000" w:rsidRDefault="00000000" w:rsidRPr="00000000" w14:paraId="000000F8">
      <w:pPr>
        <w:pStyle w:val="Heading2"/>
        <w:spacing w:after="120" w:before="120" w:lineRule="auto"/>
        <w:rPr/>
      </w:pPr>
      <w:r w:rsidDel="00000000" w:rsidR="00000000" w:rsidRPr="00000000">
        <w:rPr>
          <w:rtl w:val="0"/>
        </w:rPr>
        <w:t xml:space="preserve">Externally provided programmes</w:t>
      </w:r>
    </w:p>
    <w:p w:rsidR="00000000" w:rsidDel="00000000" w:rsidP="00000000" w:rsidRDefault="00000000" w:rsidRPr="00000000" w14:paraId="000000F9">
      <w:pPr>
        <w:spacing w:after="120" w:lineRule="auto"/>
        <w:rPr>
          <w:i w:val="1"/>
          <w:iCs w:val="1"/>
        </w:rPr>
      </w:pPr>
      <w:r w:rsidDel="00000000" w:rsidR="00000000" w:rsidRPr="00000000">
        <w:rPr>
          <w:i w:val="1"/>
          <w:iCs w:val="1"/>
          <w:rtl w:val="0"/>
        </w:rPr>
        <w:t xml:space="preserve">Please include the names of any non-DfE programmes that you used your pupil premium (or recovery premium) to fund in the previous academic year. </w:t>
      </w:r>
    </w:p>
    <w:tbl>
      <w:tblPr>
        <w:tblStyle w:val="Table13"/>
        <w:tblW w:w="948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15"/>
        <w:gridCol w:w="4671"/>
        <w:tblGridChange w:id="0">
          <w:tblGrid>
            <w:gridCol w:w="4815"/>
            <w:gridCol w:w="467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FA">
            <w:pPr>
              <w:pBdr>
                <w:top w:space="0" w:sz="0" w:val="nil"/>
                <w:left w:space="0" w:sz="0" w:val="nil"/>
                <w:bottom w:space="0" w:sz="0" w:val="nil"/>
                <w:right w:space="0" w:sz="0" w:val="nil"/>
                <w:between w:space="0" w:sz="0" w:val="nil"/>
              </w:pBdr>
              <w:spacing w:after="60" w:before="60" w:line="240" w:lineRule="auto"/>
              <w:ind w:left="57" w:right="57" w:firstLine="0"/>
              <w:rPr>
                <w:b w:val="1"/>
                <w:bCs w:val="1"/>
              </w:rPr>
            </w:pPr>
            <w:r w:rsidDel="00000000" w:rsidR="00000000" w:rsidRPr="00000000">
              <w:rPr>
                <w:b w:val="1"/>
                <w:bCs w:val="1"/>
                <w:rtl w:val="0"/>
              </w:rPr>
              <w:t xml:space="preserve">Programme</w:t>
            </w:r>
          </w:p>
        </w:tc>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FB">
            <w:pPr>
              <w:pBdr>
                <w:top w:space="0" w:sz="0" w:val="nil"/>
                <w:left w:space="0" w:sz="0" w:val="nil"/>
                <w:bottom w:space="0" w:sz="0" w:val="nil"/>
                <w:right w:space="0" w:sz="0" w:val="nil"/>
                <w:between w:space="0" w:sz="0" w:val="nil"/>
              </w:pBdr>
              <w:spacing w:after="60" w:before="60" w:line="240" w:lineRule="auto"/>
              <w:ind w:left="57" w:right="57" w:firstLine="0"/>
              <w:rPr>
                <w:b w:val="1"/>
                <w:bCs w:val="1"/>
              </w:rPr>
            </w:pPr>
            <w:r w:rsidDel="00000000" w:rsidR="00000000" w:rsidRPr="00000000">
              <w:rPr>
                <w:b w:val="1"/>
                <w:bCs w:val="1"/>
                <w:rtl w:val="0"/>
              </w:rPr>
              <w:t xml:space="preserve">Provider</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FC">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FD">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FE">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FF">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r>
          </w:p>
        </w:tc>
      </w:tr>
    </w:tbl>
    <w:p w:rsidR="00000000" w:rsidDel="00000000" w:rsidP="00000000" w:rsidRDefault="00000000" w:rsidRPr="00000000" w14:paraId="00000100">
      <w:pPr>
        <w:pStyle w:val="Heading2"/>
        <w:spacing w:after="120" w:before="120" w:lineRule="auto"/>
        <w:rPr/>
      </w:pPr>
      <w:r w:rsidDel="00000000" w:rsidR="00000000" w:rsidRPr="00000000">
        <w:rPr>
          <w:rtl w:val="0"/>
        </w:rPr>
        <w:t xml:space="preserve">Service pupil premium funding (optional)</w:t>
      </w:r>
    </w:p>
    <w:tbl>
      <w:tblPr>
        <w:tblStyle w:val="Table14"/>
        <w:tblW w:w="948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486"/>
        <w:tblGridChange w:id="0">
          <w:tblGrid>
            <w:gridCol w:w="9486"/>
          </w:tblGrid>
        </w:tblGridChange>
      </w:tblGrid>
      <w:tr>
        <w:trPr>
          <w:cantSplit w:val="0"/>
          <w:tblHeader w:val="0"/>
        </w:trPr>
        <w:tc>
          <w:tcPr>
            <w:shd w:fill="cfdce3" w:val="clear"/>
          </w:tcPr>
          <w:p w:rsidR="00000000" w:rsidDel="00000000" w:rsidP="00000000" w:rsidRDefault="00000000" w:rsidRPr="00000000" w14:paraId="00000101">
            <w:pPr>
              <w:spacing w:after="60" w:before="60" w:lineRule="auto"/>
              <w:rPr>
                <w:b w:val="1"/>
                <w:bCs w:val="1"/>
              </w:rPr>
            </w:pPr>
            <w:r w:rsidDel="00000000" w:rsidR="00000000" w:rsidRPr="00000000">
              <w:rPr>
                <w:i w:val="1"/>
                <w:iCs w:val="1"/>
                <w:rtl w:val="0"/>
              </w:rPr>
              <w:t xml:space="preserve">For schools that receive this funding, you may wish to provide the following information: </w:t>
            </w:r>
            <w:r w:rsidDel="00000000" w:rsidR="00000000" w:rsidRPr="00000000">
              <w:rPr>
                <w:b w:val="1"/>
                <w:bCs w:val="1"/>
                <w:color w:val="000000"/>
                <w:rtl w:val="0"/>
              </w:rPr>
              <w:t xml:space="preserve">How our service pupil premium allocation was spent last academic year</w:t>
            </w:r>
            <w:r w:rsidDel="00000000" w:rsidR="00000000" w:rsidRPr="00000000">
              <w:rPr>
                <w:rtl w:val="0"/>
              </w:rPr>
            </w:r>
          </w:p>
        </w:tc>
      </w:tr>
      <w:tr>
        <w:trPr>
          <w:cantSplit w:val="0"/>
          <w:tblHeader w:val="0"/>
        </w:trPr>
        <w:tc>
          <w:tcPr/>
          <w:p w:rsidR="00000000" w:rsidDel="00000000" w:rsidP="00000000" w:rsidRDefault="00000000" w:rsidRPr="00000000" w14:paraId="00000102">
            <w:pPr>
              <w:spacing w:after="120" w:lineRule="auto"/>
              <w:rPr/>
            </w:pPr>
            <w:r w:rsidDel="00000000" w:rsidR="00000000" w:rsidRPr="00000000">
              <w:rPr>
                <w:rtl w:val="0"/>
              </w:rPr>
              <w:t xml:space="preserve">N/A</w:t>
            </w:r>
          </w:p>
        </w:tc>
      </w:tr>
      <w:tr>
        <w:trPr>
          <w:cantSplit w:val="0"/>
          <w:tblHeader w:val="0"/>
        </w:trPr>
        <w:tc>
          <w:tcPr>
            <w:shd w:fill="cfdce3" w:val="clear"/>
          </w:tcPr>
          <w:p w:rsidR="00000000" w:rsidDel="00000000" w:rsidP="00000000" w:rsidRDefault="00000000" w:rsidRPr="00000000" w14:paraId="00000103">
            <w:pPr>
              <w:spacing w:after="60" w:before="60" w:lineRule="auto"/>
              <w:rPr>
                <w:b w:val="1"/>
                <w:bCs w:val="1"/>
              </w:rPr>
            </w:pPr>
            <w:r w:rsidDel="00000000" w:rsidR="00000000" w:rsidRPr="00000000">
              <w:rPr>
                <w:b w:val="1"/>
                <w:bCs w:val="1"/>
                <w:color w:val="000000"/>
                <w:rtl w:val="0"/>
              </w:rPr>
              <w:t xml:space="preserve">The impact of that spending on service pupil premium eligible pupils</w:t>
            </w:r>
            <w:r w:rsidDel="00000000" w:rsidR="00000000" w:rsidRPr="00000000">
              <w:rPr>
                <w:rtl w:val="0"/>
              </w:rPr>
            </w:r>
          </w:p>
        </w:tc>
      </w:tr>
      <w:tr>
        <w:trPr>
          <w:cantSplit w:val="0"/>
          <w:tblHeader w:val="0"/>
        </w:trPr>
        <w:tc>
          <w:tcPr/>
          <w:p w:rsidR="00000000" w:rsidDel="00000000" w:rsidP="00000000" w:rsidRDefault="00000000" w:rsidRPr="00000000" w14:paraId="00000104">
            <w:pPr>
              <w:spacing w:after="120" w:lineRule="auto"/>
              <w:rPr/>
            </w:pPr>
            <w:r w:rsidDel="00000000" w:rsidR="00000000" w:rsidRPr="00000000">
              <w:rPr>
                <w:rtl w:val="0"/>
              </w:rPr>
              <w:t xml:space="preserve">N/A</w:t>
            </w:r>
          </w:p>
        </w:tc>
      </w:tr>
    </w:tbl>
    <w:p w:rsidR="00000000" w:rsidDel="00000000" w:rsidP="00000000" w:rsidRDefault="00000000" w:rsidRPr="00000000" w14:paraId="00000105">
      <w:pPr>
        <w:pStyle w:val="Heading1"/>
        <w:rPr/>
      </w:pPr>
      <w:r w:rsidDel="00000000" w:rsidR="00000000" w:rsidRPr="00000000">
        <w:rPr>
          <w:rtl w:val="0"/>
        </w:rPr>
        <w:t xml:space="preserve">Further information (optional)</w:t>
      </w:r>
    </w:p>
    <w:tbl>
      <w:tblPr>
        <w:tblStyle w:val="Table15"/>
        <w:tblW w:w="948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486"/>
        <w:tblGridChange w:id="0">
          <w:tblGrid>
            <w:gridCol w:w="94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06">
            <w:pPr>
              <w:spacing w:after="120" w:before="120" w:lineRule="auto"/>
              <w:rPr>
                <w:i w:val="1"/>
                <w:iCs w:val="1"/>
              </w:rPr>
            </w:pPr>
            <w:r w:rsidDel="00000000" w:rsidR="00000000" w:rsidRPr="00000000">
              <w:rPr>
                <w:i w:val="1"/>
                <w:iCs w:val="1"/>
                <w:rtl w:val="0"/>
              </w:rPr>
              <w:t xml:space="preserve">Use this space to provide any further information about your pupil premium strategy. For example, about your strategy planning, implementation and evaluation, or other activity that you are delivering to support disadvantaged pupils, that is not dependent on pupil premium or recovery premium funding.</w:t>
            </w:r>
          </w:p>
        </w:tc>
      </w:tr>
    </w:tbl>
    <w:p w:rsidR="00000000" w:rsidDel="00000000" w:rsidP="00000000" w:rsidRDefault="00000000" w:rsidRPr="00000000" w14:paraId="00000107">
      <w:pPr>
        <w:rPr/>
      </w:pPr>
      <w:r w:rsidDel="00000000" w:rsidR="00000000" w:rsidRPr="00000000">
        <w:rPr>
          <w:rtl w:val="0"/>
        </w:rPr>
      </w:r>
    </w:p>
    <w:sectPr>
      <w:headerReference r:id="rId7" w:type="default"/>
      <w:footerReference r:id="rId8" w:type="default"/>
      <w:pgSz w:h="16838" w:w="11906" w:orient="portrait"/>
      <w:pgMar w:bottom="1134" w:top="1134" w:left="1134" w:right="1276"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ourier New"/>
  <w:font w:name="Apto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9">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ind w:firstLine="4513"/>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8">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color w:val="0d0d0d"/>
        <w:sz w:val="24"/>
        <w:szCs w:val="24"/>
        <w:lang w:val="en_GB"/>
      </w:rPr>
    </w:rPrDefault>
    <w:pPrDefault>
      <w:pPr>
        <w:spacing w:after="240" w:line="288"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ageBreakBefore w:val="1"/>
      <w:spacing w:line="240" w:lineRule="auto"/>
    </w:pPr>
    <w:rPr>
      <w:b w:val="1"/>
      <w:bCs w:val="1"/>
      <w:color w:val="104f75"/>
      <w:sz w:val="36"/>
      <w:szCs w:val="36"/>
    </w:rPr>
  </w:style>
  <w:style w:type="paragraph" w:styleId="Heading2">
    <w:name w:val="heading 2"/>
    <w:basedOn w:val="Normal"/>
    <w:next w:val="Normal"/>
    <w:pPr>
      <w:keepNext w:val="1"/>
      <w:spacing w:before="480" w:line="240" w:lineRule="auto"/>
    </w:pPr>
    <w:rPr>
      <w:b w:val="1"/>
      <w:bCs w:val="1"/>
      <w:color w:val="104f75"/>
      <w:sz w:val="32"/>
      <w:szCs w:val="32"/>
    </w:rPr>
  </w:style>
  <w:style w:type="paragraph" w:styleId="Heading3">
    <w:name w:val="heading 3"/>
    <w:basedOn w:val="Normal"/>
    <w:next w:val="Normal"/>
    <w:pPr>
      <w:keepNext w:val="1"/>
      <w:spacing w:before="360" w:line="240" w:lineRule="auto"/>
    </w:pPr>
    <w:rPr>
      <w:b w:val="1"/>
      <w:bCs w:val="1"/>
      <w:color w:val="104f75"/>
      <w:sz w:val="28"/>
      <w:szCs w:val="28"/>
    </w:rPr>
  </w:style>
  <w:style w:type="paragraph" w:styleId="Heading4">
    <w:name w:val="heading 4"/>
    <w:basedOn w:val="Normal"/>
    <w:next w:val="Normal"/>
    <w:pPr>
      <w:keepNext w:val="1"/>
      <w:spacing w:before="240" w:line="240" w:lineRule="auto"/>
    </w:pPr>
    <w:rPr>
      <w:b w:val="1"/>
      <w:bCs w:val="1"/>
      <w:color w:val="104f75"/>
      <w:sz w:val="24"/>
      <w:szCs w:val="24"/>
    </w:rPr>
  </w:style>
  <w:style w:type="paragraph" w:styleId="Heading5">
    <w:name w:val="heading 5"/>
    <w:basedOn w:val="Normal"/>
    <w:next w:val="Normal"/>
    <w:pPr>
      <w:spacing w:after="60" w:before="240" w:lineRule="auto"/>
      <w:ind w:left="3600" w:hanging="360"/>
    </w:pPr>
    <w:rPr>
      <w:rFonts w:ascii="Calibri" w:cs="Calibri" w:eastAsia="Calibri" w:hAnsi="Calibri"/>
      <w:b w:val="1"/>
      <w:bCs w:val="1"/>
      <w:i w:val="1"/>
      <w:iCs w:val="1"/>
      <w:sz w:val="26"/>
      <w:szCs w:val="26"/>
    </w:rPr>
  </w:style>
  <w:style w:type="paragraph" w:styleId="Heading6">
    <w:name w:val="heading 6"/>
    <w:basedOn w:val="Normal"/>
    <w:next w:val="Normal"/>
    <w:pPr>
      <w:spacing w:after="60" w:before="240" w:lineRule="auto"/>
      <w:ind w:left="4320" w:hanging="360"/>
    </w:pPr>
    <w:rPr>
      <w:rFonts w:ascii="Calibri" w:cs="Calibri" w:eastAsia="Calibri" w:hAnsi="Calibri"/>
      <w:b w:val="1"/>
      <w:bCs w:val="1"/>
    </w:rPr>
  </w:style>
  <w:style w:type="paragraph" w:styleId="Title">
    <w:name w:val="Title"/>
    <w:basedOn w:val="Normal"/>
    <w:next w:val="Normal"/>
    <w:pPr>
      <w:spacing w:before="240" w:line="240" w:lineRule="auto"/>
    </w:pPr>
    <w:rPr>
      <w:b w:val="1"/>
      <w:bCs w:val="1"/>
      <w:color w:val="104f75"/>
      <w:sz w:val="96"/>
      <w:szCs w:val="96"/>
    </w:rPr>
  </w:style>
  <w:style w:type="paragraph" w:styleId="Subtitle">
    <w:name w:val="Subtitle"/>
    <w:basedOn w:val="Normal"/>
    <w:next w:val="Normal"/>
    <w:pPr>
      <w:widowControl w:val="0"/>
      <w:spacing w:after="60" w:line="240" w:lineRule="auto"/>
      <w:jc w:val="center"/>
    </w:pPr>
    <w:rPr>
      <w:i w:val="1"/>
      <w:iCs w:val="1"/>
      <w:color w:val="000000"/>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tblPr>
      <w:tblStyleRowBandSize w:val="1"/>
      <w:tblStyleColBandSize w:val="1"/>
      <w:tblCellMar>
        <w:top w:w="0.0" w:type="dxa"/>
        <w:left w:w="10.0" w:type="dxa"/>
        <w:bottom w:w="0.0" w:type="dxa"/>
        <w:right w:w="10.0" w:type="dxa"/>
      </w:tblCellMar>
    </w:tblPr>
  </w:style>
  <w:style w:type="table" w:styleId="Table5">
    <w:basedOn w:val="TableNormal"/>
    <w:tblPr>
      <w:tblStyleRowBandSize w:val="1"/>
      <w:tblStyleColBandSize w:val="1"/>
      <w:tblCellMar>
        <w:top w:w="0.0" w:type="dxa"/>
        <w:left w:w="10.0" w:type="dxa"/>
        <w:bottom w:w="0.0" w:type="dxa"/>
        <w:right w:w="10.0" w:type="dxa"/>
      </w:tblCellMar>
    </w:tblPr>
  </w:style>
  <w:style w:type="table" w:styleId="Table6">
    <w:basedOn w:val="TableNormal"/>
    <w:tblPr>
      <w:tblStyleRowBandSize w:val="1"/>
      <w:tblStyleColBandSize w:val="1"/>
      <w:tblCellMar>
        <w:top w:w="0.0" w:type="dxa"/>
        <w:left w:w="10.0" w:type="dxa"/>
        <w:bottom w:w="0.0" w:type="dxa"/>
        <w:right w:w="10.0" w:type="dxa"/>
      </w:tblCellMar>
    </w:tblPr>
  </w:style>
  <w:style w:type="table" w:styleId="Table7">
    <w:basedOn w:val="TableNormal"/>
    <w:tblPr>
      <w:tblStyleRowBandSize w:val="1"/>
      <w:tblStyleColBandSize w:val="1"/>
      <w:tblCellMar>
        <w:top w:w="0.0" w:type="dxa"/>
        <w:left w:w="10.0" w:type="dxa"/>
        <w:bottom w:w="0.0" w:type="dxa"/>
        <w:right w:w="10.0" w:type="dxa"/>
      </w:tblCellMar>
    </w:tblPr>
  </w:style>
  <w:style w:type="table" w:styleId="Table8">
    <w:basedOn w:val="TableNormal"/>
    <w:tblPr>
      <w:tblStyleRowBandSize w:val="1"/>
      <w:tblStyleColBandSize w:val="1"/>
      <w:tblCellMar>
        <w:top w:w="0.0" w:type="dxa"/>
        <w:left w:w="10.0" w:type="dxa"/>
        <w:bottom w:w="0.0" w:type="dxa"/>
        <w:right w:w="10.0" w:type="dxa"/>
      </w:tblCellMar>
    </w:tblPr>
  </w:style>
  <w:style w:type="table" w:styleId="Table9">
    <w:basedOn w:val="TableNormal"/>
    <w:tblPr>
      <w:tblStyleRowBandSize w:val="1"/>
      <w:tblStyleColBandSize w:val="1"/>
      <w:tblCellMar>
        <w:top w:w="0.0" w:type="dxa"/>
        <w:left w:w="10.0" w:type="dxa"/>
        <w:bottom w:w="0.0" w:type="dxa"/>
        <w:right w:w="10.0" w:type="dxa"/>
      </w:tblCellMar>
    </w:tblPr>
  </w:style>
  <w:style w:type="table" w:styleId="Table10">
    <w:basedOn w:val="TableNormal"/>
    <w:tblPr>
      <w:tblStyleRowBandSize w:val="1"/>
      <w:tblStyleColBandSize w:val="1"/>
      <w:tblCellMar>
        <w:top w:w="0.0" w:type="dxa"/>
        <w:left w:w="10.0" w:type="dxa"/>
        <w:bottom w:w="0.0" w:type="dxa"/>
        <w:right w:w="10.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Pr>
  </w:style>
  <w:style w:type="table" w:styleId="Table13">
    <w:basedOn w:val="TableNormal"/>
    <w:tblPr>
      <w:tblStyleRowBandSize w:val="1"/>
      <w:tblStyleColBandSize w:val="1"/>
      <w:tblCellMar>
        <w:top w:w="0.0" w:type="dxa"/>
        <w:left w:w="10.0" w:type="dxa"/>
        <w:bottom w:w="0.0" w:type="dxa"/>
        <w:right w:w="10.0" w:type="dxa"/>
      </w:tblCellMar>
    </w:tblPr>
  </w:style>
  <w:style w:type="table" w:styleId="Table14">
    <w:basedOn w:val="TableNormal"/>
    <w:tblPr>
      <w:tblStyleRowBandSize w:val="1"/>
      <w:tblStyleColBandSize w:val="1"/>
      <w:tblCellMar>
        <w:top w:w="0.0" w:type="dxa"/>
        <w:left w:w="10.0" w:type="dxa"/>
        <w:bottom w:w="0.0" w:type="dxa"/>
        <w:right w:w="10.0" w:type="dxa"/>
      </w:tblCellMar>
    </w:tblPr>
  </w:style>
  <w:style w:type="table" w:styleId="Table15">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ISQVbnjIQAyoWwUIJzbfn9wQWg==">CgMxLjAaHwoBMBIaChgICVIUChJ0YWJsZS4zMmY5cHJjeGNxY2EyCGguZ2pkZ3hzMgloLjMwajB6bGw4AHIhMUR1MFBaUGtscFhjOUtkMU1leTJuVWJTVmVlV0p0RUp4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0x0101004EE0D3FFCD7B0A48BE9F33F99353B96A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IWPSubject</vt:lpwstr>
  </property>
  <property fmtid="{D5CDD505-2E9C-101B-9397-08002B2CF9AE}" pid="9" name="IWPFunction">
    <vt:lpwstr>IWPFunction</vt:lpwstr>
  </property>
  <property fmtid="{D5CDD505-2E9C-101B-9397-08002B2CF9AE}" pid="10" name="IWPSiteType">
    <vt:lpwstr>IWPSiteType</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MediaServiceImageTags</vt:lpwstr>
  </property>
</Properties>
</file>